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444" w:rsidRPr="00F23DA2" w:rsidRDefault="00D80444">
      <w:pPr>
        <w:pStyle w:val="ConsPlusNormal"/>
        <w:jc w:val="right"/>
      </w:pPr>
      <w:proofErr w:type="gramStart"/>
      <w:r w:rsidRPr="00F23DA2">
        <w:t>Утвержден</w:t>
      </w:r>
      <w:proofErr w:type="gramEnd"/>
      <w:r w:rsidRPr="00F23DA2">
        <w:t xml:space="preserve"> и введен в действие</w:t>
      </w:r>
    </w:p>
    <w:p w:rsidR="00D80444" w:rsidRPr="00F23DA2" w:rsidRDefault="00D80444">
      <w:pPr>
        <w:pStyle w:val="ConsPlusNormal"/>
        <w:jc w:val="right"/>
      </w:pPr>
      <w:r w:rsidRPr="00F23DA2">
        <w:t xml:space="preserve">Приказом </w:t>
      </w:r>
      <w:proofErr w:type="spellStart"/>
      <w:r w:rsidRPr="00F23DA2">
        <w:t>Ростехрегулирования</w:t>
      </w:r>
      <w:proofErr w:type="spellEnd"/>
    </w:p>
    <w:p w:rsidR="00D80444" w:rsidRPr="00F23DA2" w:rsidRDefault="00D80444">
      <w:pPr>
        <w:pStyle w:val="ConsPlusNormal"/>
        <w:jc w:val="right"/>
      </w:pPr>
      <w:r w:rsidRPr="00F23DA2">
        <w:t>от 18 февраля 2009 г</w:t>
      </w:r>
      <w:r w:rsidR="00F23DA2" w:rsidRPr="00F23DA2">
        <w:t>ода</w:t>
      </w:r>
      <w:r w:rsidRPr="00F23DA2">
        <w:t xml:space="preserve"> </w:t>
      </w:r>
      <w:r w:rsidR="00F23DA2" w:rsidRPr="00F23DA2">
        <w:t>№</w:t>
      </w:r>
      <w:r w:rsidRPr="00F23DA2">
        <w:t xml:space="preserve"> 59-ст</w:t>
      </w:r>
    </w:p>
    <w:p w:rsidR="00D80444" w:rsidRPr="00F23DA2" w:rsidRDefault="00D80444">
      <w:pPr>
        <w:pStyle w:val="ConsPlusNormal"/>
        <w:jc w:val="center"/>
      </w:pPr>
    </w:p>
    <w:p w:rsidR="00D80444" w:rsidRPr="00F23DA2" w:rsidRDefault="00D80444">
      <w:pPr>
        <w:pStyle w:val="ConsPlusTitle"/>
        <w:jc w:val="center"/>
      </w:pPr>
      <w:r w:rsidRPr="00F23DA2">
        <w:t>НАЦИОНАЛЬНЫЙ СТАНДАРТ РОССИ</w:t>
      </w:r>
      <w:bookmarkStart w:id="0" w:name="_GoBack"/>
      <w:bookmarkEnd w:id="0"/>
      <w:r w:rsidRPr="00F23DA2">
        <w:t>ЙСКОЙ ФЕДЕРАЦИИ</w:t>
      </w:r>
    </w:p>
    <w:p w:rsidR="00D80444" w:rsidRPr="00F23DA2" w:rsidRDefault="00D80444">
      <w:pPr>
        <w:pStyle w:val="ConsPlusTitle"/>
        <w:jc w:val="center"/>
      </w:pPr>
    </w:p>
    <w:p w:rsidR="00D80444" w:rsidRPr="00F23DA2" w:rsidRDefault="00F23DA2">
      <w:pPr>
        <w:pStyle w:val="ConsPlusTitle"/>
        <w:jc w:val="center"/>
      </w:pPr>
      <w:hyperlink r:id="rId5" w:history="1">
        <w:r w:rsidR="00D80444" w:rsidRPr="00F23DA2">
          <w:rPr>
            <w:rStyle w:val="a3"/>
            <w:color w:val="auto"/>
            <w:u w:val="none"/>
          </w:rPr>
          <w:t>ТЕХНИКА ПОЖАРНАЯ</w:t>
        </w:r>
      </w:hyperlink>
    </w:p>
    <w:p w:rsidR="00D80444" w:rsidRPr="00F23DA2" w:rsidRDefault="00D80444">
      <w:pPr>
        <w:pStyle w:val="ConsPlusTitle"/>
        <w:jc w:val="center"/>
      </w:pPr>
    </w:p>
    <w:p w:rsidR="00D80444" w:rsidRPr="00F23DA2" w:rsidRDefault="00D80444">
      <w:pPr>
        <w:pStyle w:val="ConsPlusTitle"/>
        <w:jc w:val="center"/>
      </w:pPr>
      <w:r w:rsidRPr="00F23DA2">
        <w:t>ГЕНЕРАТОРЫ ОГНЕТУШАЩЕГО АЭРОЗОЛЯ</w:t>
      </w:r>
    </w:p>
    <w:p w:rsidR="00D80444" w:rsidRPr="00F23DA2" w:rsidRDefault="00D80444">
      <w:pPr>
        <w:pStyle w:val="ConsPlusTitle"/>
        <w:jc w:val="center"/>
      </w:pPr>
    </w:p>
    <w:p w:rsidR="00D80444" w:rsidRPr="00F23DA2" w:rsidRDefault="00D80444">
      <w:pPr>
        <w:pStyle w:val="ConsPlusTitle"/>
        <w:jc w:val="center"/>
      </w:pPr>
      <w:r w:rsidRPr="00F23DA2">
        <w:t>ОБЩИЕ ТЕХНИЧЕСКИЕ ТРЕБОВАНИЯ. МЕТОДЫ ИСПЫТАНИЙ</w:t>
      </w:r>
    </w:p>
    <w:p w:rsidR="00D80444" w:rsidRPr="00F23DA2" w:rsidRDefault="00D80444">
      <w:pPr>
        <w:pStyle w:val="ConsPlusTitle"/>
        <w:jc w:val="center"/>
      </w:pPr>
    </w:p>
    <w:p w:rsidR="00D80444" w:rsidRPr="00F23DA2" w:rsidRDefault="00D80444">
      <w:pPr>
        <w:pStyle w:val="ConsPlusTitle"/>
        <w:jc w:val="center"/>
      </w:pPr>
      <w:proofErr w:type="spellStart"/>
      <w:r w:rsidRPr="00F23DA2">
        <w:t>Fire</w:t>
      </w:r>
      <w:proofErr w:type="spellEnd"/>
      <w:r w:rsidRPr="00F23DA2">
        <w:t xml:space="preserve"> </w:t>
      </w:r>
      <w:proofErr w:type="spellStart"/>
      <w:r w:rsidRPr="00F23DA2">
        <w:t>engineering</w:t>
      </w:r>
      <w:proofErr w:type="spellEnd"/>
      <w:r w:rsidRPr="00F23DA2">
        <w:t xml:space="preserve">. </w:t>
      </w:r>
      <w:proofErr w:type="spellStart"/>
      <w:r w:rsidRPr="00F23DA2">
        <w:t>Generators</w:t>
      </w:r>
      <w:proofErr w:type="spellEnd"/>
      <w:r w:rsidRPr="00F23DA2">
        <w:t xml:space="preserve"> </w:t>
      </w:r>
      <w:proofErr w:type="spellStart"/>
      <w:r w:rsidRPr="00F23DA2">
        <w:t>of</w:t>
      </w:r>
      <w:proofErr w:type="spellEnd"/>
      <w:r w:rsidRPr="00F23DA2">
        <w:t xml:space="preserve"> </w:t>
      </w:r>
      <w:proofErr w:type="spellStart"/>
      <w:r w:rsidRPr="00F23DA2">
        <w:t>extinguishing</w:t>
      </w:r>
      <w:proofErr w:type="spellEnd"/>
      <w:r w:rsidRPr="00F23DA2">
        <w:t xml:space="preserve"> </w:t>
      </w:r>
      <w:proofErr w:type="spellStart"/>
      <w:r w:rsidRPr="00F23DA2">
        <w:t>aerosol</w:t>
      </w:r>
      <w:proofErr w:type="spellEnd"/>
      <w:r w:rsidRPr="00F23DA2">
        <w:t>.</w:t>
      </w:r>
    </w:p>
    <w:p w:rsidR="00D80444" w:rsidRPr="00F23DA2" w:rsidRDefault="00D80444">
      <w:pPr>
        <w:pStyle w:val="ConsPlusTitle"/>
        <w:jc w:val="center"/>
      </w:pPr>
      <w:proofErr w:type="spellStart"/>
      <w:r w:rsidRPr="00F23DA2">
        <w:t>General</w:t>
      </w:r>
      <w:proofErr w:type="spellEnd"/>
      <w:r w:rsidRPr="00F23DA2">
        <w:t xml:space="preserve"> </w:t>
      </w:r>
      <w:proofErr w:type="spellStart"/>
      <w:r w:rsidRPr="00F23DA2">
        <w:t>technical</w:t>
      </w:r>
      <w:proofErr w:type="spellEnd"/>
      <w:r w:rsidRPr="00F23DA2">
        <w:t xml:space="preserve"> </w:t>
      </w:r>
      <w:proofErr w:type="spellStart"/>
      <w:r w:rsidRPr="00F23DA2">
        <w:t>requirements</w:t>
      </w:r>
      <w:proofErr w:type="spellEnd"/>
      <w:r w:rsidRPr="00F23DA2">
        <w:t xml:space="preserve">. </w:t>
      </w:r>
      <w:proofErr w:type="spellStart"/>
      <w:r w:rsidRPr="00F23DA2">
        <w:t>Test</w:t>
      </w:r>
      <w:proofErr w:type="spellEnd"/>
      <w:r w:rsidRPr="00F23DA2">
        <w:t xml:space="preserve"> </w:t>
      </w:r>
      <w:proofErr w:type="spellStart"/>
      <w:r w:rsidRPr="00F23DA2">
        <w:t>methods</w:t>
      </w:r>
      <w:proofErr w:type="spellEnd"/>
    </w:p>
    <w:p w:rsidR="00D80444" w:rsidRPr="00F23DA2" w:rsidRDefault="00D80444">
      <w:pPr>
        <w:pStyle w:val="ConsPlusTitle"/>
        <w:jc w:val="center"/>
      </w:pPr>
    </w:p>
    <w:p w:rsidR="00D80444" w:rsidRPr="00F23DA2" w:rsidRDefault="00D80444">
      <w:pPr>
        <w:pStyle w:val="ConsPlusTitle"/>
        <w:jc w:val="center"/>
      </w:pPr>
      <w:r w:rsidRPr="00F23DA2">
        <w:t xml:space="preserve">ГОСТ </w:t>
      </w:r>
      <w:proofErr w:type="gramStart"/>
      <w:r w:rsidRPr="00F23DA2">
        <w:t>Р</w:t>
      </w:r>
      <w:proofErr w:type="gramEnd"/>
      <w:r w:rsidRPr="00F23DA2">
        <w:t xml:space="preserve"> 53284-2009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right"/>
      </w:pPr>
      <w:r w:rsidRPr="00F23DA2">
        <w:t>ОКС 13.220.10</w:t>
      </w:r>
    </w:p>
    <w:p w:rsidR="00D80444" w:rsidRPr="00F23DA2" w:rsidRDefault="00D80444">
      <w:pPr>
        <w:pStyle w:val="ConsPlusNormal"/>
        <w:jc w:val="right"/>
      </w:pPr>
    </w:p>
    <w:p w:rsidR="00D80444" w:rsidRPr="00F23DA2" w:rsidRDefault="00D80444">
      <w:pPr>
        <w:pStyle w:val="ConsPlusNormal"/>
        <w:jc w:val="right"/>
      </w:pPr>
      <w:r w:rsidRPr="00F23DA2">
        <w:t>ОКП 48 5400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right"/>
      </w:pPr>
      <w:r w:rsidRPr="00F23DA2">
        <w:t>Дата введения</w:t>
      </w:r>
    </w:p>
    <w:p w:rsidR="00D80444" w:rsidRPr="00F23DA2" w:rsidRDefault="00D80444">
      <w:pPr>
        <w:pStyle w:val="ConsPlusNormal"/>
        <w:jc w:val="right"/>
      </w:pPr>
      <w:r w:rsidRPr="00F23DA2">
        <w:t>1 января 2010 года</w:t>
      </w:r>
    </w:p>
    <w:p w:rsidR="00D80444" w:rsidRPr="00F23DA2" w:rsidRDefault="00D80444">
      <w:pPr>
        <w:pStyle w:val="ConsPlusNormal"/>
        <w:jc w:val="right"/>
      </w:pPr>
      <w:r w:rsidRPr="00F23DA2">
        <w:t>с правом досрочного применения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center"/>
        <w:outlineLvl w:val="0"/>
        <w:rPr>
          <w:b/>
        </w:rPr>
      </w:pPr>
      <w:r w:rsidRPr="00F23DA2">
        <w:rPr>
          <w:b/>
        </w:rPr>
        <w:t>Предисловие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 xml:space="preserve">Цели и принципы стандартизации в Российской Федерации установлены Федеральным законом от 27 декабря 2002 г. </w:t>
      </w:r>
      <w:r w:rsidR="00F23DA2" w:rsidRPr="00F23DA2">
        <w:t>№</w:t>
      </w:r>
      <w:r w:rsidRPr="00F23DA2">
        <w:t xml:space="preserve"> 184-ФЗ </w:t>
      </w:r>
      <w:r w:rsidR="00F23DA2">
        <w:t>«</w:t>
      </w:r>
      <w:r w:rsidRPr="00F23DA2">
        <w:t>О техническом регулировании</w:t>
      </w:r>
      <w:r w:rsidR="00F23DA2">
        <w:t>»</w:t>
      </w:r>
      <w:r w:rsidRPr="00F23DA2">
        <w:t xml:space="preserve">, а правила применения национальных стандартов Российской Федерации - ГОСТ </w:t>
      </w:r>
      <w:proofErr w:type="gramStart"/>
      <w:r w:rsidRPr="00F23DA2">
        <w:t>Р</w:t>
      </w:r>
      <w:proofErr w:type="gramEnd"/>
      <w:r w:rsidRPr="00F23DA2">
        <w:t xml:space="preserve"> 1.0-2004 </w:t>
      </w:r>
      <w:r w:rsidR="00F23DA2">
        <w:t>«</w:t>
      </w:r>
      <w:r w:rsidRPr="00F23DA2">
        <w:t>Стандартизация в Российской Федерации. Основные положения</w:t>
      </w:r>
      <w:r w:rsidR="00F23DA2">
        <w:t>»</w:t>
      </w:r>
      <w:r w:rsidRPr="00F23DA2">
        <w:t>.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center"/>
        <w:outlineLvl w:val="0"/>
        <w:rPr>
          <w:b/>
        </w:rPr>
      </w:pPr>
      <w:r w:rsidRPr="00F23DA2">
        <w:rPr>
          <w:b/>
        </w:rPr>
        <w:t>Сведения о стандарте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 xml:space="preserve">1. </w:t>
      </w:r>
      <w:proofErr w:type="gramStart"/>
      <w:r w:rsidRPr="00F23DA2">
        <w:t>Разработан</w:t>
      </w:r>
      <w:proofErr w:type="gramEnd"/>
      <w:r w:rsidRPr="00F23DA2">
        <w:t xml:space="preserve"> ФГУ ВНИИПО МЧС России.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2. </w:t>
      </w:r>
      <w:proofErr w:type="gramStart"/>
      <w:r w:rsidRPr="00F23DA2">
        <w:t>Внесен</w:t>
      </w:r>
      <w:proofErr w:type="gramEnd"/>
      <w:r w:rsidRPr="00F23DA2">
        <w:t xml:space="preserve"> Техническим комитетом по стандартизации ТК 274 </w:t>
      </w:r>
      <w:r w:rsidR="00F23DA2">
        <w:t>«</w:t>
      </w:r>
      <w:r w:rsidRPr="00F23DA2">
        <w:t>Пожарная безопасность</w:t>
      </w:r>
      <w:r w:rsidR="00F23DA2">
        <w:t>»</w:t>
      </w:r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F23DA2" w:rsidRPr="00F23DA2">
        <w:t>№</w:t>
      </w:r>
      <w:r w:rsidRPr="00F23DA2">
        <w:t xml:space="preserve"> 59-ст.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4. Введен впервые.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F23DA2">
        <w:t>«</w:t>
      </w:r>
      <w:r w:rsidRPr="00F23DA2">
        <w:t>Национальные стандарты</w:t>
      </w:r>
      <w:r w:rsidR="00F23DA2">
        <w:t>»</w:t>
      </w:r>
      <w:r w:rsidRPr="00F23DA2">
        <w:t xml:space="preserve">, а текст изменений и поправок - в ежемесячно издаваемых информационных указателях </w:t>
      </w:r>
      <w:r w:rsidR="00F23DA2">
        <w:t>«</w:t>
      </w:r>
      <w:r w:rsidRPr="00F23DA2">
        <w:t>Национальные стандарты</w:t>
      </w:r>
      <w:r w:rsidR="00F23DA2">
        <w:t>»</w:t>
      </w:r>
      <w:r w:rsidRPr="00F23DA2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F23DA2">
        <w:t>«</w:t>
      </w:r>
      <w:r w:rsidRPr="00F23DA2">
        <w:t>Национальные стандарты</w:t>
      </w:r>
      <w:r w:rsidR="00F23DA2">
        <w:t>»</w:t>
      </w:r>
      <w:r w:rsidRPr="00F23DA2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D80444" w:rsidRDefault="00D80444">
      <w:pPr>
        <w:pStyle w:val="ConsPlusNormal"/>
        <w:ind w:firstLine="540"/>
        <w:jc w:val="both"/>
      </w:pPr>
    </w:p>
    <w:p w:rsidR="00F23DA2" w:rsidRDefault="00F23DA2">
      <w:pPr>
        <w:pStyle w:val="ConsPlusNormal"/>
        <w:ind w:firstLine="540"/>
        <w:jc w:val="both"/>
      </w:pPr>
    </w:p>
    <w:p w:rsidR="00F23DA2" w:rsidRPr="00F23DA2" w:rsidRDefault="00F23DA2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center"/>
        <w:outlineLvl w:val="0"/>
        <w:rPr>
          <w:b/>
        </w:rPr>
      </w:pPr>
      <w:r w:rsidRPr="00F23DA2">
        <w:rPr>
          <w:b/>
        </w:rPr>
        <w:lastRenderedPageBreak/>
        <w:t>1. Область применения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 xml:space="preserve">Настоящий стандарт распространяется на все типы и разновидности (семейства) генераторов огнетушащего аэрозоля, размещаемых на стационарных объектах, снаряжаемых </w:t>
      </w:r>
      <w:proofErr w:type="spellStart"/>
      <w:r w:rsidRPr="00F23DA2">
        <w:t>аэрозолеобразующими</w:t>
      </w:r>
      <w:proofErr w:type="spellEnd"/>
      <w:r w:rsidRPr="00F23DA2">
        <w:t xml:space="preserve"> составами и предназначенных для получения огнетушащего аэрозоля и подачи его в защищаемые помещения для локализации и тушения пожара.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Настоящий стандарт устанавливает общие технические требования, требования безопасности, порядок и методы </w:t>
      </w:r>
      <w:proofErr w:type="gramStart"/>
      <w:r w:rsidRPr="00F23DA2">
        <w:t>проведения всех видов испытаний генераторов огнетушащего аэрозоля</w:t>
      </w:r>
      <w:proofErr w:type="gramEnd"/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Настоящий стандарт не распространяется на генераторы огнетушащего аэрозоля, предназначенные для оперативного применения, защиты транспортных средств и других объектов, проектируемых и эксплуатируемых по специальным нормам.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center"/>
        <w:outlineLvl w:val="0"/>
        <w:rPr>
          <w:b/>
        </w:rPr>
      </w:pPr>
      <w:r w:rsidRPr="00F23DA2">
        <w:rPr>
          <w:b/>
        </w:rPr>
        <w:t>2. Нормативные ссылки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>В настоящем стандарте использованы нормативные ссылки на следующие стандарты: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ГОСТ </w:t>
      </w:r>
      <w:proofErr w:type="gramStart"/>
      <w:r w:rsidRPr="00F23DA2">
        <w:t>Р</w:t>
      </w:r>
      <w:proofErr w:type="gramEnd"/>
      <w:r w:rsidRPr="00F23DA2">
        <w:t xml:space="preserve"> 1.5-2004. Стандарты национальные Российской Федерации. Правила построения, изложения, оформления и обозначения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ГОСТ </w:t>
      </w:r>
      <w:proofErr w:type="gramStart"/>
      <w:r w:rsidRPr="00F23DA2">
        <w:t>Р</w:t>
      </w:r>
      <w:proofErr w:type="gramEnd"/>
      <w:r w:rsidRPr="00F23DA2">
        <w:t xml:space="preserve"> 12.4.026-2001.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ГОСТ </w:t>
      </w:r>
      <w:proofErr w:type="gramStart"/>
      <w:r w:rsidRPr="00F23DA2">
        <w:t>Р</w:t>
      </w:r>
      <w:proofErr w:type="gramEnd"/>
      <w:r w:rsidRPr="00F23DA2">
        <w:t xml:space="preserve"> 15.201-2000.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ГОСТ </w:t>
      </w:r>
      <w:proofErr w:type="gramStart"/>
      <w:r w:rsidRPr="00F23DA2">
        <w:t>Р</w:t>
      </w:r>
      <w:proofErr w:type="gramEnd"/>
      <w:r w:rsidRPr="00F23DA2">
        <w:t xml:space="preserve"> 6616-94. Термопары. Номинальные статические характеристики преобразования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ГОСТ </w:t>
      </w:r>
      <w:proofErr w:type="gramStart"/>
      <w:r w:rsidRPr="00F23DA2">
        <w:t>Р</w:t>
      </w:r>
      <w:proofErr w:type="gramEnd"/>
      <w:r w:rsidRPr="00F23DA2">
        <w:t xml:space="preserve"> 51046-97. Техника пожарная. Генераторы огнетушащего аэрозоля. Типы и основные параметры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ГОСТ </w:t>
      </w:r>
      <w:proofErr w:type="gramStart"/>
      <w:r w:rsidRPr="00F23DA2">
        <w:t>Р</w:t>
      </w:r>
      <w:proofErr w:type="gramEnd"/>
      <w:r w:rsidRPr="00F23DA2">
        <w:t xml:space="preserve"> 51057-2001. Техника пожарная. Огнетушители переносные. Общие технические требования. Методы испытаний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ГОСТ </w:t>
      </w:r>
      <w:proofErr w:type="gramStart"/>
      <w:r w:rsidRPr="00F23DA2">
        <w:t>Р</w:t>
      </w:r>
      <w:proofErr w:type="gramEnd"/>
      <w:r w:rsidRPr="00F23DA2">
        <w:t xml:space="preserve"> 51105-97. Топлива для двигателей внутреннего сгорания. Неэтилированный бензин. Технические условия</w:t>
      </w:r>
    </w:p>
    <w:p w:rsidR="00F23DA2" w:rsidRPr="00F23DA2" w:rsidRDefault="00F23DA2">
      <w:pPr>
        <w:pStyle w:val="ConsPlusNormal"/>
        <w:jc w:val="both"/>
      </w:pPr>
    </w:p>
    <w:p w:rsidR="00D80444" w:rsidRPr="00F23DA2" w:rsidRDefault="00F23DA2">
      <w:pPr>
        <w:pStyle w:val="ConsPlusNormal"/>
        <w:jc w:val="both"/>
        <w:rPr>
          <w:i/>
        </w:rPr>
      </w:pPr>
      <w:r w:rsidRPr="00F23DA2">
        <w:rPr>
          <w:i/>
        </w:rPr>
        <w:t>Примечание.</w:t>
      </w:r>
    </w:p>
    <w:p w:rsidR="00D80444" w:rsidRPr="00F23DA2" w:rsidRDefault="00D80444">
      <w:pPr>
        <w:pStyle w:val="ConsPlusNormal"/>
        <w:jc w:val="both"/>
        <w:rPr>
          <w:i/>
        </w:rPr>
      </w:pPr>
      <w:r w:rsidRPr="00F23DA2">
        <w:rPr>
          <w:i/>
        </w:rPr>
        <w:t xml:space="preserve">Взамен ГОСТ </w:t>
      </w:r>
      <w:proofErr w:type="gramStart"/>
      <w:r w:rsidRPr="00F23DA2">
        <w:rPr>
          <w:i/>
        </w:rPr>
        <w:t>Р</w:t>
      </w:r>
      <w:proofErr w:type="gramEnd"/>
      <w:r w:rsidRPr="00F23DA2">
        <w:rPr>
          <w:i/>
        </w:rPr>
        <w:t xml:space="preserve"> 51368-99 Приказом </w:t>
      </w:r>
      <w:proofErr w:type="spellStart"/>
      <w:r w:rsidRPr="00F23DA2">
        <w:rPr>
          <w:i/>
        </w:rPr>
        <w:t>Росстандарта</w:t>
      </w:r>
      <w:proofErr w:type="spellEnd"/>
      <w:r w:rsidRPr="00F23DA2">
        <w:rPr>
          <w:i/>
        </w:rPr>
        <w:t xml:space="preserve"> от 28.09.2011 </w:t>
      </w:r>
      <w:r w:rsidR="00F23DA2" w:rsidRPr="00F23DA2">
        <w:rPr>
          <w:i/>
        </w:rPr>
        <w:t>№</w:t>
      </w:r>
      <w:r w:rsidRPr="00F23DA2">
        <w:rPr>
          <w:i/>
        </w:rPr>
        <w:t xml:space="preserve"> 385-ст c 1 июля 2012 года введен в действие ГОСТ Р 51368-2011.</w:t>
      </w:r>
    </w:p>
    <w:p w:rsidR="00F23DA2" w:rsidRPr="00F23DA2" w:rsidRDefault="00F23DA2">
      <w:pPr>
        <w:pStyle w:val="ConsPlusNormal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 xml:space="preserve">ГОСТ </w:t>
      </w:r>
      <w:proofErr w:type="gramStart"/>
      <w:r w:rsidRPr="00F23DA2">
        <w:t>Р</w:t>
      </w:r>
      <w:proofErr w:type="gramEnd"/>
      <w:r w:rsidRPr="00F23DA2">
        <w:t xml:space="preserve"> 51368-99. Методы испытаний на стойкость к климатическим внешним воздействующим факторам машин, приборов и других технических изделий. Испытания на устойчивость к воздействию температуры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ГОСТ </w:t>
      </w:r>
      <w:proofErr w:type="gramStart"/>
      <w:r w:rsidRPr="00F23DA2">
        <w:t>Р</w:t>
      </w:r>
      <w:proofErr w:type="gramEnd"/>
      <w:r w:rsidRPr="00F23DA2">
        <w:t xml:space="preserve"> 51369-99. Методы испытаний на стойкость к климатическим внешним воздействующим факторам машин, приборов и других технических изделий. Испытания на воздействие влажности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ГОСТ </w:t>
      </w:r>
      <w:proofErr w:type="gramStart"/>
      <w:r w:rsidRPr="00F23DA2">
        <w:t>Р</w:t>
      </w:r>
      <w:proofErr w:type="gramEnd"/>
      <w:r w:rsidRPr="00F23DA2">
        <w:t xml:space="preserve"> 51370-99. Методы испытаний на стойкость к климатическим внешним воздействующим факторам машин, приборов и других технических изделий. Испытания на воздействие солнечного излучения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lastRenderedPageBreak/>
        <w:t>ГОСТ 2.114-95. Единая система конструкторской документации. Технические условия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2.601-2006. Единая система конструкторской документации. Эксплуатационные документы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9.032-74. Единая система защиты от коррозии и старения. Покрытия лакокрасочные. Группы, технические требования и обозначения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9.302-88. Единая система защиты от коррозии и старения. Покрытия металлические и неметаллические неорганические. Методы контроля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9.303-84. Единая система защиты от коррозии и старения. Покрытия металлические и неметаллические неорганические. Общие требования к выбору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9.308-85. Единая система защиты от коррозии и старения. Покрытия металлические и неметаллические неорганические. Методы ускоренных коррозионных испытаний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9.407-84. Единая система защиты от коррозии и старения. Покрытия лакокрасочные. Метод оценки внешнего вида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12.1.007-76. Вредные вещества. Классификация и общие требования безопасности</w:t>
      </w:r>
    </w:p>
    <w:p w:rsidR="00F23DA2" w:rsidRPr="00F23DA2" w:rsidRDefault="00F23DA2">
      <w:pPr>
        <w:pStyle w:val="ConsPlusNormal"/>
        <w:jc w:val="both"/>
      </w:pPr>
    </w:p>
    <w:p w:rsidR="00D80444" w:rsidRPr="00F23DA2" w:rsidRDefault="00F23DA2">
      <w:pPr>
        <w:pStyle w:val="ConsPlusNormal"/>
        <w:jc w:val="both"/>
        <w:rPr>
          <w:i/>
        </w:rPr>
      </w:pPr>
      <w:r w:rsidRPr="00F23DA2">
        <w:rPr>
          <w:i/>
        </w:rPr>
        <w:t>Примечание.</w:t>
      </w:r>
    </w:p>
    <w:p w:rsidR="00D80444" w:rsidRPr="00F23DA2" w:rsidRDefault="00D80444">
      <w:pPr>
        <w:pStyle w:val="ConsPlusNormal"/>
        <w:jc w:val="both"/>
        <w:rPr>
          <w:i/>
        </w:rPr>
      </w:pPr>
      <w:r w:rsidRPr="00F23DA2">
        <w:rPr>
          <w:i/>
        </w:rPr>
        <w:t>В официальном тексте документа, видимо, допущена опечатка: возможно, имеется в виду ГОСТ 12.1.044-89, а не ГОСТ 12.1.044-91.</w:t>
      </w:r>
    </w:p>
    <w:p w:rsidR="00F23DA2" w:rsidRPr="00F23DA2" w:rsidRDefault="00F23DA2">
      <w:pPr>
        <w:pStyle w:val="ConsPlusNormal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>ГОСТ 12.1.044-91. Пожаровзрывоопасность веществ и материалов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27.410-87. Надежность в технике. Методы контроля показателей надежности и планы контрольных испытаний на надежность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427-75. Линейки измерительные металлические. Технические условия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2084-77. Бензины автомобильные. Технические условия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ГОСТ 5632-72. Стали высоколегированные и сплавы </w:t>
      </w:r>
      <w:proofErr w:type="gramStart"/>
      <w:r w:rsidRPr="00F23DA2">
        <w:t>коррозионно-стойкие</w:t>
      </w:r>
      <w:proofErr w:type="gramEnd"/>
      <w:r w:rsidRPr="00F23DA2">
        <w:t>, жаростойкие и жаропрочные. Марки и технические требования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5679-91. Вата хлопчатобумажная и мебельная. Технические условия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ГОСТ </w:t>
      </w:r>
      <w:proofErr w:type="gramStart"/>
      <w:r w:rsidRPr="00F23DA2">
        <w:t>Р</w:t>
      </w:r>
      <w:proofErr w:type="gramEnd"/>
      <w:r w:rsidRPr="00F23DA2">
        <w:t xml:space="preserve"> 6616-94. Термопары. Номинальные статические характеристики преобразования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7502-98. Рулетки измерительные металлические. Технические условия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14192-96. Маркировка грузов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18321-73. Статистический контроль качества. Метод случайного отбора выборок штучной продукции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23170-78. Упаковка для изделий машиностроения. Общие требования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24054-80. Изделия машиностроения и приборостроения. Методы испытаний на герметичность. Общие требования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lastRenderedPageBreak/>
        <w:t>ГОСТ 25828-83. Гептан нормальный эталонный. Технические условия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27331-87. Пожарная техника. Классификация пожаров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ГОСТ 28198-89 (МЭК 68-1-88). Основные методы испытаний на воздействие внешних факторов. Часть 1. Общие положения и руководство.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Примечание. </w:t>
      </w:r>
      <w:proofErr w:type="gramStart"/>
      <w:r w:rsidRPr="00F23DA2"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F23DA2">
        <w:t>«</w:t>
      </w:r>
      <w:r w:rsidRPr="00F23DA2">
        <w:t>Национальные стандарты</w:t>
      </w:r>
      <w:r w:rsidR="00F23DA2">
        <w:t>»</w:t>
      </w:r>
      <w:r w:rsidRPr="00F23DA2"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F23DA2"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center"/>
        <w:outlineLvl w:val="0"/>
        <w:rPr>
          <w:b/>
        </w:rPr>
      </w:pPr>
      <w:r w:rsidRPr="00F23DA2">
        <w:rPr>
          <w:b/>
        </w:rPr>
        <w:t>3. Термины и определения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>В настоящем стандарте применены следующие термины с соответствующими определениями: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3.1. </w:t>
      </w:r>
      <w:r w:rsidRPr="00F23DA2">
        <w:rPr>
          <w:b/>
          <w:i/>
        </w:rPr>
        <w:t>Аэрозольное пожаротушение:</w:t>
      </w:r>
      <w:r w:rsidRPr="00F23DA2">
        <w:t xml:space="preserve"> совокупность действий и процессов, обеспечивающих тушение пожара, при которых в качестве огнетушащих веществ используют аэрозоли.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3.2. </w:t>
      </w:r>
      <w:r w:rsidRPr="00F23DA2">
        <w:rPr>
          <w:b/>
          <w:i/>
        </w:rPr>
        <w:t xml:space="preserve">Установка аэрозольного пожаротушения: </w:t>
      </w:r>
      <w:r w:rsidRPr="00F23DA2">
        <w:t>установка, в которой в качестве огнетушащего вещества используют аэрозоль, получаемый при работе генераторов огнетушащего аэрозоля.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3.3. </w:t>
      </w:r>
      <w:r w:rsidRPr="00F23DA2">
        <w:rPr>
          <w:b/>
          <w:i/>
        </w:rPr>
        <w:t>Автоматическая установка аэрозольного пожаротушения:</w:t>
      </w:r>
      <w:r w:rsidRPr="00F23DA2">
        <w:t xml:space="preserve"> установка пожаротушения, использующая </w:t>
      </w:r>
      <w:proofErr w:type="spellStart"/>
      <w:r w:rsidRPr="00F23DA2">
        <w:t>аэрозолеобразующие</w:t>
      </w:r>
      <w:proofErr w:type="spellEnd"/>
      <w:r w:rsidRPr="00F23DA2">
        <w:t xml:space="preserve"> огнетушащие составы, и автоматически срабатывающая при превышении контролируемым фактором (факторами) пожара установленных пороговых значений в защищаемой зоне.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3.4. </w:t>
      </w:r>
      <w:r w:rsidRPr="00F23DA2">
        <w:rPr>
          <w:b/>
          <w:i/>
        </w:rPr>
        <w:t>Генератор огнетушащего аэрозоля (генератор):</w:t>
      </w:r>
      <w:r w:rsidRPr="00F23DA2">
        <w:t xml:space="preserve"> устройство для получения огнетушащего аэрозоля с заданными параметрами и подачи его в защищаемое помещение.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3.5. </w:t>
      </w:r>
      <w:r w:rsidRPr="00F23DA2">
        <w:rPr>
          <w:b/>
          <w:i/>
        </w:rPr>
        <w:t>Семейство генераторов:</w:t>
      </w:r>
      <w:r w:rsidRPr="00F23DA2">
        <w:t xml:space="preserve"> модельный ряд модификаций генераторов с различной массой огнетушащего </w:t>
      </w:r>
      <w:proofErr w:type="spellStart"/>
      <w:r w:rsidRPr="00F23DA2">
        <w:t>аэрозолеобразующего</w:t>
      </w:r>
      <w:proofErr w:type="spellEnd"/>
      <w:r w:rsidRPr="00F23DA2">
        <w:t xml:space="preserve"> состава, имеющих одинаковые типы </w:t>
      </w:r>
      <w:proofErr w:type="spellStart"/>
      <w:r w:rsidRPr="00F23DA2">
        <w:t>аэрозолеобразующего</w:t>
      </w:r>
      <w:proofErr w:type="spellEnd"/>
      <w:r w:rsidRPr="00F23DA2">
        <w:t xml:space="preserve"> состава, охладителя и их зарядов, одинаковый тип выпускных отверстий, одинаковое устройство пуска, одинаковый набор элементов и одинаковую внутреннюю/внешнюю структуру.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3.6. </w:t>
      </w:r>
      <w:proofErr w:type="spellStart"/>
      <w:r w:rsidRPr="00F23DA2">
        <w:rPr>
          <w:b/>
          <w:i/>
        </w:rPr>
        <w:t>Аэрозолеобразующий</w:t>
      </w:r>
      <w:proofErr w:type="spellEnd"/>
      <w:r w:rsidRPr="00F23DA2">
        <w:rPr>
          <w:b/>
          <w:i/>
        </w:rPr>
        <w:t xml:space="preserve"> огнетушащий состав:</w:t>
      </w:r>
      <w:r w:rsidRPr="00F23DA2">
        <w:t xml:space="preserve"> специальный состав, способный к самостоятельному горению без доступа воздуха с образованием огнетушащего аэрозоля.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3.7. </w:t>
      </w:r>
      <w:r w:rsidRPr="00F23DA2">
        <w:rPr>
          <w:b/>
          <w:i/>
        </w:rPr>
        <w:t>Огнетушащий аэрозоль (аэрозоль):</w:t>
      </w:r>
      <w:r w:rsidRPr="00F23DA2">
        <w:t xml:space="preserve"> продукты горения </w:t>
      </w:r>
      <w:proofErr w:type="spellStart"/>
      <w:r w:rsidRPr="00F23DA2">
        <w:t>аэрозолеобразующего</w:t>
      </w:r>
      <w:proofErr w:type="spellEnd"/>
      <w:r w:rsidRPr="00F23DA2">
        <w:t xml:space="preserve"> огнетушащего состава, оказывающие огнетушащее действие на очаг пожара.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3.8. </w:t>
      </w:r>
      <w:r w:rsidRPr="00F23DA2">
        <w:rPr>
          <w:b/>
          <w:i/>
        </w:rPr>
        <w:t>Выпускное отверстие генератора:</w:t>
      </w:r>
      <w:r w:rsidRPr="00F23DA2">
        <w:t xml:space="preserve"> отверстие генератора, после </w:t>
      </w:r>
      <w:proofErr w:type="gramStart"/>
      <w:r w:rsidRPr="00F23DA2">
        <w:t>выхода</w:t>
      </w:r>
      <w:proofErr w:type="gramEnd"/>
      <w:r w:rsidRPr="00F23DA2">
        <w:t xml:space="preserve"> из которого получаемый аэрозоль начинает смешиваться с окружающим воздухом.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3.9. </w:t>
      </w:r>
      <w:r w:rsidRPr="00F23DA2">
        <w:rPr>
          <w:b/>
          <w:i/>
        </w:rPr>
        <w:t>Дистанционная подача огнетушащего аэрозоля:</w:t>
      </w:r>
      <w:r w:rsidRPr="00F23DA2">
        <w:t xml:space="preserve"> подача на заданное расстояние огнетушащего аэрозоля непосредственно от устройства его получения (генератора огнетушащего аэрозоля) в защищаемые помещения посредством подводящих и распределительных </w:t>
      </w:r>
      <w:r w:rsidRPr="00F23DA2">
        <w:lastRenderedPageBreak/>
        <w:t>трубопроводов.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3.10. </w:t>
      </w:r>
      <w:proofErr w:type="gramStart"/>
      <w:r w:rsidRPr="00F23DA2">
        <w:rPr>
          <w:b/>
          <w:i/>
        </w:rPr>
        <w:t>Генератор дистанционной подачи огнетушащего аэрозоля:</w:t>
      </w:r>
      <w:r w:rsidRPr="00F23DA2">
        <w:t xml:space="preserve"> устройство для получения огнетушащего аэрозоля (генератор огнетушащего аэрозоля) с присоединенными к нему подводящим трубопроводом с предохранительной мембраной (клапаном) и/или распределительными устройствами, трубопроводами для подачи огнетушащего аэрозоля с заданными параметрами по определенному направлению.</w:t>
      </w:r>
      <w:proofErr w:type="gramEnd"/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3.11. </w:t>
      </w:r>
      <w:r w:rsidRPr="00F23DA2">
        <w:rPr>
          <w:b/>
          <w:i/>
        </w:rPr>
        <w:t>Подводящий аэрозольный трубопровод:</w:t>
      </w:r>
      <w:r w:rsidRPr="00F23DA2">
        <w:t xml:space="preserve"> трубопровод, соединяющий устройство получения огнетушащего аэрозоля (генератор) с распределительными устройствами, трубопроводами и/или объемом защищаемого помещения.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3.12. </w:t>
      </w:r>
      <w:r w:rsidRPr="00F23DA2">
        <w:rPr>
          <w:b/>
          <w:i/>
        </w:rPr>
        <w:t xml:space="preserve">Заряд </w:t>
      </w:r>
      <w:proofErr w:type="spellStart"/>
      <w:r w:rsidRPr="00F23DA2">
        <w:rPr>
          <w:b/>
          <w:i/>
        </w:rPr>
        <w:t>аэрозолеобразующего</w:t>
      </w:r>
      <w:proofErr w:type="spellEnd"/>
      <w:r w:rsidRPr="00F23DA2">
        <w:rPr>
          <w:b/>
          <w:i/>
        </w:rPr>
        <w:t xml:space="preserve"> огнетушащего состава:</w:t>
      </w:r>
      <w:r w:rsidRPr="00F23DA2">
        <w:t xml:space="preserve"> сформованный элемент </w:t>
      </w:r>
      <w:proofErr w:type="spellStart"/>
      <w:r w:rsidRPr="00F23DA2">
        <w:t>аэрозолеобразующего</w:t>
      </w:r>
      <w:proofErr w:type="spellEnd"/>
      <w:r w:rsidRPr="00F23DA2">
        <w:t xml:space="preserve"> огнетушащего состава определенной массы и формы, размещаемый в корпусе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3.13. </w:t>
      </w:r>
      <w:r w:rsidRPr="00F23DA2">
        <w:rPr>
          <w:b/>
          <w:i/>
        </w:rPr>
        <w:t>Охлаждающий элемент:</w:t>
      </w:r>
      <w:r w:rsidRPr="00F23DA2">
        <w:t xml:space="preserve"> композиция или конструкции специального состава, размещаемые в генераторе, которые при </w:t>
      </w:r>
      <w:proofErr w:type="spellStart"/>
      <w:r w:rsidRPr="00F23DA2">
        <w:t>теплохимическом</w:t>
      </w:r>
      <w:proofErr w:type="spellEnd"/>
      <w:r w:rsidRPr="00F23DA2">
        <w:t xml:space="preserve"> взаимодействии с продуктами горения </w:t>
      </w:r>
      <w:proofErr w:type="spellStart"/>
      <w:r w:rsidRPr="00F23DA2">
        <w:t>аэрозолеобразующего</w:t>
      </w:r>
      <w:proofErr w:type="spellEnd"/>
      <w:r w:rsidRPr="00F23DA2">
        <w:t xml:space="preserve"> огнетушащего состава обеспечивают снижение их температуры.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3.14. </w:t>
      </w:r>
      <w:r w:rsidRPr="00F23DA2">
        <w:rPr>
          <w:b/>
          <w:i/>
        </w:rPr>
        <w:t>Снаряженный генератор:</w:t>
      </w:r>
      <w:r w:rsidRPr="00F23DA2">
        <w:t xml:space="preserve"> генератор огнетушащего аэрозоля с присоединенным устройством пуска и предназначенный для тушения.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3.15. </w:t>
      </w:r>
      <w:proofErr w:type="gramStart"/>
      <w:r w:rsidRPr="00F23DA2">
        <w:rPr>
          <w:b/>
          <w:i/>
        </w:rPr>
        <w:t>Зона опасности зажигания горючих веществ и материалов от работающего генератора (зона пожароопасности генератора):</w:t>
      </w:r>
      <w:r w:rsidRPr="00F23DA2">
        <w:t xml:space="preserve"> значение максимального расстояния по длине струи огнетушащего аэрозоля и/или от корпуса работающего генератора, при котором за счет воздействия высокотемпературных продуктов горения заряда </w:t>
      </w:r>
      <w:proofErr w:type="spellStart"/>
      <w:r w:rsidRPr="00F23DA2">
        <w:t>аэрозолеобразующего</w:t>
      </w:r>
      <w:proofErr w:type="spellEnd"/>
      <w:r w:rsidRPr="00F23DA2">
        <w:t xml:space="preserve"> огнетушащего состава (включая раскаленные твердые и жидкие частицы) и нагретых конструктивных элементов генератора происходит зажигание горючих жидкостей, газов, твердых веществ и материалов.</w:t>
      </w:r>
      <w:proofErr w:type="gramEnd"/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3.16. </w:t>
      </w:r>
      <w:r w:rsidRPr="00F23DA2">
        <w:rPr>
          <w:b/>
          <w:i/>
        </w:rPr>
        <w:t>Показатели опасности токсического воздействия огнетушащего аэрозоля:</w:t>
      </w:r>
      <w:r w:rsidRPr="00F23DA2">
        <w:t xml:space="preserve"> показатели, характеризующие опасность воздействия вредных веществ, содержащихся в составе огнетушащего аэрозоля.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3.17. </w:t>
      </w:r>
      <w:r w:rsidRPr="00F23DA2">
        <w:rPr>
          <w:b/>
          <w:i/>
        </w:rPr>
        <w:t xml:space="preserve">Параметр </w:t>
      </w:r>
      <w:proofErr w:type="spellStart"/>
      <w:r w:rsidRPr="00F23DA2">
        <w:rPr>
          <w:b/>
          <w:i/>
        </w:rPr>
        <w:t>негерметичности</w:t>
      </w:r>
      <w:proofErr w:type="spellEnd"/>
      <w:r w:rsidRPr="00F23DA2">
        <w:rPr>
          <w:b/>
          <w:i/>
        </w:rPr>
        <w:t xml:space="preserve"> защищаемого помещения:</w:t>
      </w:r>
      <w:r w:rsidRPr="00F23DA2">
        <w:t xml:space="preserve"> величина, численно характеризующая </w:t>
      </w:r>
      <w:proofErr w:type="spellStart"/>
      <w:r w:rsidRPr="00F23DA2">
        <w:t>негерметичность</w:t>
      </w:r>
      <w:proofErr w:type="spellEnd"/>
      <w:r w:rsidRPr="00F23DA2">
        <w:t xml:space="preserve"> защищаемого помещения и равная отношению суммарной площади всех постоянно открытых проемов к объему защищаемого помещения.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3.18. </w:t>
      </w:r>
      <w:r w:rsidRPr="00F23DA2">
        <w:rPr>
          <w:b/>
          <w:i/>
        </w:rPr>
        <w:t>Условно герметичное помещение:</w:t>
      </w:r>
      <w:r w:rsidRPr="00F23DA2">
        <w:t xml:space="preserve"> помещение, параметр </w:t>
      </w:r>
      <w:proofErr w:type="spellStart"/>
      <w:r w:rsidRPr="00F23DA2">
        <w:t>негерметичности</w:t>
      </w:r>
      <w:proofErr w:type="spellEnd"/>
      <w:r w:rsidRPr="00F23DA2">
        <w:t xml:space="preserve"> которого не превышает </w:t>
      </w:r>
      <w:r w:rsidR="00F23DA2" w:rsidRPr="00F23DA2">
        <w:rPr>
          <w:position w:val="-8"/>
        </w:rPr>
        <w:pict>
          <v:shape id="_x0000_i1025" style="width:52.65pt;height:20.4pt" coordsize="" o:spt="100" adj="0,,0" path="" filled="f" stroked="f">
            <v:stroke joinstyle="miter"/>
            <v:imagedata r:id="rId6" o:title="base_44_11370_10"/>
            <v:formulas/>
            <v:path o:connecttype="segments"/>
          </v:shape>
        </w:pict>
      </w:r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3.19. </w:t>
      </w:r>
      <w:r w:rsidRPr="00F23DA2">
        <w:rPr>
          <w:b/>
          <w:i/>
        </w:rPr>
        <w:t>Огнетушащая способность генератора:</w:t>
      </w:r>
      <w:r w:rsidRPr="00F23DA2">
        <w:t xml:space="preserve"> отношение разности масс снаряженного генератора до и после подачи огнетушащего аэрозоля к максимальному объему условно герметичного помещения, в котором генератор обеспечивает тушение определенных модельных очагов пожара.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3.20. </w:t>
      </w:r>
      <w:r w:rsidRPr="00F23DA2">
        <w:rPr>
          <w:b/>
          <w:i/>
        </w:rPr>
        <w:t>Инерционность (время срабатывания) генератора:</w:t>
      </w:r>
      <w:r w:rsidRPr="00F23DA2">
        <w:t xml:space="preserve"> промежуток времени от момента подачи электрического сигнала на пуск до момента начала истечения струи огнетушащего аэрозоля из выпускного отверстия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3.21. </w:t>
      </w:r>
      <w:r w:rsidRPr="00F23DA2">
        <w:rPr>
          <w:b/>
          <w:i/>
        </w:rPr>
        <w:t>Время (продолжительность) подачи огнетушащего аэрозоля (работы генератора):</w:t>
      </w:r>
      <w:r w:rsidRPr="00F23DA2">
        <w:t xml:space="preserve"> промежуток времени от момента начала до момента окончания истечения струи огнетушащего аэрозоля из выпускного отверстия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3.22. </w:t>
      </w:r>
      <w:r w:rsidRPr="00F23DA2">
        <w:rPr>
          <w:b/>
          <w:i/>
        </w:rPr>
        <w:t>Устройство пуска генератора:</w:t>
      </w:r>
      <w:r w:rsidRPr="00F23DA2">
        <w:t xml:space="preserve"> устройство, обеспечивающее выделение тепловой </w:t>
      </w:r>
      <w:r w:rsidRPr="00F23DA2">
        <w:lastRenderedPageBreak/>
        <w:t xml:space="preserve">энергии, необходимой для воспламенения заряда </w:t>
      </w:r>
      <w:proofErr w:type="spellStart"/>
      <w:r w:rsidRPr="00F23DA2">
        <w:t>аэрозолеобразующего</w:t>
      </w:r>
      <w:proofErr w:type="spellEnd"/>
      <w:r w:rsidRPr="00F23DA2">
        <w:t xml:space="preserve"> огнетушащего состава и получения огнетушащего аэрозоля.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3.23. </w:t>
      </w:r>
      <w:r w:rsidRPr="00F23DA2">
        <w:rPr>
          <w:b/>
          <w:i/>
        </w:rPr>
        <w:t>Зажигающая способность генератора:</w:t>
      </w:r>
      <w:r w:rsidRPr="00F23DA2">
        <w:t xml:space="preserve"> возможность воспламенять вещества и материалы при воздействии высокотемпературных аэрозолей (включая вытекающие жидкие продукты) и конструктивных элементов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3.24. </w:t>
      </w:r>
      <w:proofErr w:type="gramStart"/>
      <w:r w:rsidRPr="00F23DA2">
        <w:rPr>
          <w:b/>
          <w:i/>
        </w:rPr>
        <w:t>Модельный очаг пожара:</w:t>
      </w:r>
      <w:r w:rsidRPr="00F23DA2">
        <w:t xml:space="preserve"> очаг пожара, предназначенный для проверки огнетушащей способности пожарной техники, форма и размеры которого установлены нормативными документами.</w:t>
      </w:r>
      <w:proofErr w:type="gramEnd"/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3.25. </w:t>
      </w:r>
      <w:r w:rsidRPr="00F23DA2">
        <w:rPr>
          <w:b/>
          <w:i/>
        </w:rPr>
        <w:t>Огнетушащая интенсивность подачи аэрозоля из генератора:</w:t>
      </w:r>
      <w:r w:rsidRPr="00F23DA2">
        <w:t xml:space="preserve"> отношение огнетушащей способности генератора в максимальном объеме условно герметичного помещения, в котором генератор обеспечивает тушение модельных очагов пожара, к времени его работы (подачи аэрозоля).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3.26. </w:t>
      </w:r>
      <w:r w:rsidRPr="00F23DA2">
        <w:rPr>
          <w:b/>
          <w:i/>
        </w:rPr>
        <w:t xml:space="preserve">Тушение (ликвидация) пожара: </w:t>
      </w:r>
      <w:r w:rsidRPr="00F23DA2">
        <w:t>процесс воздействия сил и средств, а также методы и приемы, направленные на ликвидацию пожара.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3.27. </w:t>
      </w:r>
      <w:r w:rsidRPr="00F23DA2">
        <w:rPr>
          <w:b/>
          <w:i/>
        </w:rPr>
        <w:t>Локализация пожара:</w:t>
      </w:r>
      <w:r w:rsidRPr="00F23DA2">
        <w:t xml:space="preserve"> процесс воздействия сил и средств, а также методы и приемы, направленные на предотвращение возможности дальнейшего распространения горения и создание условий для успешной ликвидации пожара.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center"/>
        <w:outlineLvl w:val="0"/>
        <w:rPr>
          <w:b/>
        </w:rPr>
      </w:pPr>
      <w:r w:rsidRPr="00F23DA2">
        <w:rPr>
          <w:b/>
        </w:rPr>
        <w:t>4. Обозначения и сокращения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>4.1. Аэрозольное пожаротушение - АПТ.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4.2. Установка аэрозольного пожаротушения - УАП.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4.3. Автоматическая установка аэрозольного пожаротушения - АУАП.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4.4. Генератор огнетушащего аэрозоля (генератор) -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4.5. </w:t>
      </w:r>
      <w:proofErr w:type="spellStart"/>
      <w:r w:rsidRPr="00F23DA2">
        <w:t>Аэрозолеобразующий</w:t>
      </w:r>
      <w:proofErr w:type="spellEnd"/>
      <w:r w:rsidRPr="00F23DA2">
        <w:t xml:space="preserve"> огнетушащий состав - АОС.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4.6. Огнетушащий аэрозоль - 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4.7. Генератор дистанционной подачи огнетушащего аэрозоля - ГОАДП.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4.8. Охлаждающий элемент - </w:t>
      </w:r>
      <w:proofErr w:type="spellStart"/>
      <w:r w:rsidRPr="00F23DA2">
        <w:t>ОхЭ</w:t>
      </w:r>
      <w:proofErr w:type="spellEnd"/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4.9. Параметр </w:t>
      </w:r>
      <w:proofErr w:type="spellStart"/>
      <w:r w:rsidRPr="00F23DA2">
        <w:t>негерметичности</w:t>
      </w:r>
      <w:proofErr w:type="spellEnd"/>
      <w:r w:rsidRPr="00F23DA2">
        <w:t xml:space="preserve"> защищаемого помещения - </w:t>
      </w:r>
      <w:r w:rsidR="00F23DA2" w:rsidRPr="00F23DA2">
        <w:rPr>
          <w:position w:val="-4"/>
        </w:rPr>
        <w:pict>
          <v:shape id="_x0000_i1026" style="width:11.8pt;height:14.5pt" coordsize="" o:spt="100" adj="0,,0" path="" filled="f" stroked="f">
            <v:stroke joinstyle="miter"/>
            <v:imagedata r:id="rId7" o:title="base_44_11370_11"/>
            <v:formulas/>
            <v:path o:connecttype="segments"/>
          </v:shape>
        </w:pict>
      </w:r>
      <w:r w:rsidRPr="00F23DA2">
        <w:t xml:space="preserve">, </w:t>
      </w:r>
      <w:r w:rsidR="00F23DA2" w:rsidRPr="00F23DA2">
        <w:rPr>
          <w:position w:val="-5"/>
        </w:rPr>
        <w:pict>
          <v:shape id="_x0000_i1027" style="width:20.95pt;height:16.65pt" coordsize="" o:spt="100" adj="0,,0" path="" filled="f" stroked="f">
            <v:stroke joinstyle="miter"/>
            <v:imagedata r:id="rId8" o:title="base_44_11370_12"/>
            <v:formulas/>
            <v:path o:connecttype="segments"/>
          </v:shape>
        </w:pict>
      </w:r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4.10. Огнетушащая способность ГОА - </w:t>
      </w:r>
      <w:r w:rsidR="00F23DA2" w:rsidRPr="00F23DA2">
        <w:rPr>
          <w:position w:val="-9"/>
        </w:rPr>
        <w:pict>
          <v:shape id="_x0000_i1028" style="width:26.35pt;height:20.95pt" coordsize="" o:spt="100" adj="0,,0" path="" filled="f" stroked="f">
            <v:stroke joinstyle="miter"/>
            <v:imagedata r:id="rId9" o:title="base_44_11370_13"/>
            <v:formulas/>
            <v:path o:connecttype="segments"/>
          </v:shape>
        </w:pict>
      </w:r>
      <w:r w:rsidRPr="00F23DA2">
        <w:t>, кг/м</w:t>
      </w:r>
      <w:r w:rsidRPr="00F23DA2">
        <w:rPr>
          <w:vertAlign w:val="superscript"/>
        </w:rPr>
        <w:t>3</w:t>
      </w:r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4.11. Время (продолжительность) подачи огнетушащего аэрозоля (работы ГОА) - </w:t>
      </w:r>
      <w:r w:rsidR="00F23DA2" w:rsidRPr="00F23DA2">
        <w:rPr>
          <w:position w:val="-8"/>
        </w:rPr>
        <w:pict>
          <v:shape id="_x0000_i1029" style="width:23.1pt;height:20.4pt" coordsize="" o:spt="100" adj="0,,0" path="" filled="f" stroked="f">
            <v:stroke joinstyle="miter"/>
            <v:imagedata r:id="rId10" o:title="base_44_11370_14"/>
            <v:formulas/>
            <v:path o:connecttype="segments"/>
          </v:shape>
        </w:pict>
      </w:r>
      <w:r w:rsidRPr="00F23DA2">
        <w:t xml:space="preserve">, </w:t>
      </w:r>
      <w:proofErr w:type="gramStart"/>
      <w:r w:rsidRPr="00F23DA2">
        <w:t>с</w:t>
      </w:r>
      <w:proofErr w:type="gramEnd"/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4.12. Огнетушащая интенсивность подачи аэрозоля из генератора - </w:t>
      </w:r>
      <w:r w:rsidR="00F23DA2" w:rsidRPr="00F23DA2">
        <w:rPr>
          <w:position w:val="-9"/>
        </w:rPr>
        <w:pict>
          <v:shape id="_x0000_i1030" style="width:26.35pt;height:20.95pt" coordsize="" o:spt="100" adj="0,,0" path="" filled="f" stroked="f">
            <v:stroke joinstyle="miter"/>
            <v:imagedata r:id="rId11" o:title="base_44_11370_15"/>
            <v:formulas/>
            <v:path o:connecttype="segments"/>
          </v:shape>
        </w:pict>
      </w:r>
      <w:r w:rsidRPr="00F23DA2">
        <w:t xml:space="preserve">, </w:t>
      </w:r>
      <w:proofErr w:type="gramStart"/>
      <w:r w:rsidRPr="00F23DA2">
        <w:t>кг</w:t>
      </w:r>
      <w:proofErr w:type="gramEnd"/>
      <w:r w:rsidRPr="00F23DA2">
        <w:t>/(м</w:t>
      </w:r>
      <w:r w:rsidRPr="00F23DA2">
        <w:rPr>
          <w:vertAlign w:val="superscript"/>
        </w:rPr>
        <w:t>3</w:t>
      </w:r>
      <w:r w:rsidRPr="00F23DA2">
        <w:t xml:space="preserve"> x с).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center"/>
        <w:outlineLvl w:val="0"/>
        <w:rPr>
          <w:b/>
        </w:rPr>
      </w:pPr>
      <w:r w:rsidRPr="00F23DA2">
        <w:rPr>
          <w:b/>
        </w:rPr>
        <w:t>5. Общие технические требования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>Генератор огнетушащего аэрозоля должен соответствовать требованиям настоящего стандарта, технических условий (ТУ), комплекта конструкторской и эксплуатационной документации (технической документации - ТД), утвержденных в установленном порядке.</w:t>
      </w:r>
    </w:p>
    <w:p w:rsidR="00D80444" w:rsidRPr="00F23DA2" w:rsidRDefault="00D80444">
      <w:pPr>
        <w:pStyle w:val="ConsPlusNormal"/>
        <w:spacing w:before="220"/>
        <w:ind w:firstLine="540"/>
        <w:jc w:val="both"/>
        <w:outlineLvl w:val="1"/>
      </w:pPr>
      <w:r w:rsidRPr="00F23DA2">
        <w:lastRenderedPageBreak/>
        <w:t>5.1. Классификация ГОА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5.1.1. По способу приведения в действие ГОА подразделяют на генераторы: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 электрическим пуском;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 тепловым пуском;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 механическим пуском;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 комбинированным пуском.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5.1.2. По способу подачи ОА генераторы подразделяются на ГОА: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непосредственной подачи ОА в защищаемый объем;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дистанционной подачи ОА в защищаемый объем.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5.1.3. По конструктивному комплектованию устройством пуска (приведения в действие) подразделяют на ГОА: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</w:t>
      </w:r>
      <w:proofErr w:type="gramStart"/>
      <w:r w:rsidRPr="00F23DA2">
        <w:t>снаряженные</w:t>
      </w:r>
      <w:proofErr w:type="gramEnd"/>
      <w:r w:rsidRPr="00F23DA2">
        <w:t xml:space="preserve"> устройством пуска;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не </w:t>
      </w:r>
      <w:proofErr w:type="gramStart"/>
      <w:r w:rsidRPr="00F23DA2">
        <w:t>снаряженные</w:t>
      </w:r>
      <w:proofErr w:type="gramEnd"/>
      <w:r w:rsidRPr="00F23DA2">
        <w:t xml:space="preserve"> устройством пуска.</w:t>
      </w:r>
    </w:p>
    <w:p w:rsidR="00D80444" w:rsidRPr="00F23DA2" w:rsidRDefault="00D80444">
      <w:pPr>
        <w:pStyle w:val="ConsPlusNormal"/>
        <w:spacing w:before="220"/>
        <w:ind w:firstLine="540"/>
        <w:jc w:val="both"/>
        <w:outlineLvl w:val="1"/>
      </w:pPr>
      <w:r w:rsidRPr="00F23DA2">
        <w:t>5.2. Характеристики ГОА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5.2.1. Основные характеристики ГОА должны соответствовать значениям, указанным в таблице 1.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right"/>
      </w:pPr>
      <w:r w:rsidRPr="00F23DA2">
        <w:t>Таблица 1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center"/>
      </w:pPr>
      <w:r w:rsidRPr="00F23DA2">
        <w:t>Основные характеристики ГОА</w:t>
      </w:r>
    </w:p>
    <w:p w:rsidR="00D80444" w:rsidRPr="00F23DA2" w:rsidRDefault="00D8044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680"/>
        <w:gridCol w:w="1440"/>
      </w:tblGrid>
      <w:tr w:rsidR="00F23DA2" w:rsidRPr="00F23DA2">
        <w:trPr>
          <w:trHeight w:val="240"/>
        </w:trPr>
        <w:tc>
          <w:tcPr>
            <w:tcW w:w="7680" w:type="dxa"/>
          </w:tcPr>
          <w:p w:rsidR="00D80444" w:rsidRPr="00F23DA2" w:rsidRDefault="00D80444">
            <w:pPr>
              <w:pStyle w:val="ConsPlusNonformat"/>
              <w:jc w:val="both"/>
            </w:pPr>
            <w:r w:rsidRPr="00F23DA2">
              <w:t xml:space="preserve">                          Параметр                            </w:t>
            </w:r>
          </w:p>
        </w:tc>
        <w:tc>
          <w:tcPr>
            <w:tcW w:w="1440" w:type="dxa"/>
          </w:tcPr>
          <w:p w:rsidR="00D80444" w:rsidRPr="00F23DA2" w:rsidRDefault="00D80444">
            <w:pPr>
              <w:pStyle w:val="ConsPlusNonformat"/>
              <w:jc w:val="both"/>
            </w:pPr>
            <w:r w:rsidRPr="00F23DA2">
              <w:t xml:space="preserve"> Значение </w:t>
            </w:r>
          </w:p>
        </w:tc>
      </w:tr>
      <w:tr w:rsidR="00F23DA2" w:rsidRPr="00F23DA2">
        <w:trPr>
          <w:trHeight w:val="240"/>
        </w:trPr>
        <w:tc>
          <w:tcPr>
            <w:tcW w:w="7680" w:type="dxa"/>
            <w:tcBorders>
              <w:top w:val="nil"/>
            </w:tcBorders>
          </w:tcPr>
          <w:p w:rsidR="00D80444" w:rsidRPr="00F23DA2" w:rsidRDefault="00D80444">
            <w:pPr>
              <w:pStyle w:val="ConsPlusNonformat"/>
              <w:jc w:val="both"/>
            </w:pPr>
            <w:r w:rsidRPr="00F23DA2">
              <w:t xml:space="preserve"> Огнетушащая способность ГОА в условно герметичном объеме,    </w:t>
            </w:r>
          </w:p>
          <w:p w:rsidR="00D80444" w:rsidRPr="00F23DA2" w:rsidRDefault="00D80444">
            <w:pPr>
              <w:pStyle w:val="ConsPlusNonformat"/>
              <w:jc w:val="both"/>
            </w:pPr>
            <w:r w:rsidRPr="00F23DA2">
              <w:t xml:space="preserve">не более, </w:t>
            </w:r>
            <w:proofErr w:type="gramStart"/>
            <w:r w:rsidRPr="00F23DA2">
              <w:t>кг</w:t>
            </w:r>
            <w:proofErr w:type="gramEnd"/>
            <w:r w:rsidRPr="00F23DA2">
              <w:t>/м</w:t>
            </w:r>
            <w:r w:rsidRPr="00F23DA2">
              <w:rPr>
                <w:vertAlign w:val="superscript"/>
              </w:rPr>
              <w:t>3</w:t>
            </w:r>
            <w:r w:rsidRPr="00F23DA2">
              <w:t xml:space="preserve">                   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D80444" w:rsidRPr="00F23DA2" w:rsidRDefault="00D80444">
            <w:pPr>
              <w:pStyle w:val="ConsPlusNonformat"/>
              <w:jc w:val="both"/>
            </w:pPr>
            <w:r w:rsidRPr="00F23DA2">
              <w:t xml:space="preserve">   0,7    </w:t>
            </w:r>
          </w:p>
        </w:tc>
      </w:tr>
      <w:tr w:rsidR="00F23DA2" w:rsidRPr="00F23DA2">
        <w:trPr>
          <w:trHeight w:val="240"/>
        </w:trPr>
        <w:tc>
          <w:tcPr>
            <w:tcW w:w="7680" w:type="dxa"/>
            <w:tcBorders>
              <w:top w:val="nil"/>
            </w:tcBorders>
          </w:tcPr>
          <w:p w:rsidR="00D80444" w:rsidRPr="00F23DA2" w:rsidRDefault="00D80444">
            <w:pPr>
              <w:pStyle w:val="ConsPlusNonformat"/>
              <w:jc w:val="both"/>
            </w:pPr>
            <w:r w:rsidRPr="00F23DA2">
              <w:t xml:space="preserve"> Время подачи огнетушащего аэрозоля (работы ГОА), не более, </w:t>
            </w:r>
            <w:proofErr w:type="gramStart"/>
            <w:r w:rsidRPr="00F23DA2">
              <w:t>с</w:t>
            </w:r>
            <w:proofErr w:type="gramEnd"/>
            <w:r w:rsidRPr="00F23DA2"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:rsidR="00D80444" w:rsidRPr="00F23DA2" w:rsidRDefault="00D80444">
            <w:pPr>
              <w:pStyle w:val="ConsPlusNonformat"/>
              <w:jc w:val="both"/>
            </w:pPr>
            <w:r w:rsidRPr="00F23DA2">
              <w:t xml:space="preserve">   200    </w:t>
            </w:r>
          </w:p>
        </w:tc>
      </w:tr>
      <w:tr w:rsidR="00D80444" w:rsidRPr="00F23DA2">
        <w:trPr>
          <w:trHeight w:val="240"/>
        </w:trPr>
        <w:tc>
          <w:tcPr>
            <w:tcW w:w="7680" w:type="dxa"/>
            <w:tcBorders>
              <w:top w:val="nil"/>
            </w:tcBorders>
          </w:tcPr>
          <w:p w:rsidR="00D80444" w:rsidRPr="00F23DA2" w:rsidRDefault="00D80444">
            <w:pPr>
              <w:pStyle w:val="ConsPlusNonformat"/>
              <w:jc w:val="both"/>
            </w:pPr>
            <w:r w:rsidRPr="00F23DA2">
              <w:t xml:space="preserve"> Инерционность (время срабатывания) ГОА, номинальное значение,</w:t>
            </w:r>
          </w:p>
          <w:p w:rsidR="00D80444" w:rsidRPr="00F23DA2" w:rsidRDefault="00D80444">
            <w:pPr>
              <w:pStyle w:val="ConsPlusNonformat"/>
              <w:jc w:val="both"/>
            </w:pPr>
            <w:r w:rsidRPr="00F23DA2">
              <w:t xml:space="preserve">не более, с                       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D80444" w:rsidRPr="00F23DA2" w:rsidRDefault="00D80444">
            <w:pPr>
              <w:pStyle w:val="ConsPlusNonformat"/>
              <w:jc w:val="both"/>
            </w:pPr>
            <w:r w:rsidRPr="00F23DA2">
              <w:t xml:space="preserve">    5     </w:t>
            </w:r>
          </w:p>
        </w:tc>
      </w:tr>
    </w:tbl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>При этом устанавливаемые изготовителем и указываемые в ТД отклонения от номинальных значений не должны превышать: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для массы снаряженного ГОА и массы АОС и охладителя в снаряженном генераторе +/- 10%;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для времени подачи огнетушащего аэрозоля (при заданной температуре) +/- 10%;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для инерционности +/- 0,5 с.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5.2.2. Электрический пуск ГОА должен происходить от сигнала с параметрами согласно 5.4.2.10 и не должен происходить от сигнала с заданными в технической документации параметрами, необходимыми для контроля состояния цепи узла пуска при эксплуатации генератора в составе установки аэрозольного пожаротушения согласно 5.4.2.11.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1" w:name="P173"/>
      <w:bookmarkEnd w:id="1"/>
      <w:r w:rsidRPr="00F23DA2">
        <w:lastRenderedPageBreak/>
        <w:t>5.2.3. Сквозные трещины, прогары и пламенное горение наружной поверхности корпуса ГОА по окончании его работы не допускаются. Допускается обугливание лакокрасочного покрытия.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5.2.4. Конструкция генератора должна предусматривать возможность пломбирования разъемных соединений (за исключением крепежных) с целью контроля его целостности.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5.2.5. ГОА должен сохранять работоспособность: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после вибрационных воздействий, имитирующих условия эксплуатации, </w:t>
      </w:r>
      <w:proofErr w:type="gramStart"/>
      <w:r w:rsidRPr="00F23DA2">
        <w:t>пределы</w:t>
      </w:r>
      <w:proofErr w:type="gramEnd"/>
      <w:r w:rsidRPr="00F23DA2">
        <w:t xml:space="preserve"> изменения которых установлены изготовителем и указаны в ТД на ГОА;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в интервале температур эксплуатации и хранения, </w:t>
      </w:r>
      <w:proofErr w:type="gramStart"/>
      <w:r w:rsidRPr="00F23DA2">
        <w:t>который</w:t>
      </w:r>
      <w:proofErr w:type="gramEnd"/>
      <w:r w:rsidRPr="00F23DA2">
        <w:t xml:space="preserve"> установлен изготовителем и указан в ТД на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5.2.6. Защиту от коррозии металлических поверхностей ГОА следует осуществлять нанесением лакокрасочных, металлических или неметаллических неорганических покрытий или их сочетаниями в соответствии с ГОСТ 9.032, ГОСТ 9.303.</w:t>
      </w:r>
    </w:p>
    <w:p w:rsidR="00F23DA2" w:rsidRPr="00F23DA2" w:rsidRDefault="00F23DA2">
      <w:pPr>
        <w:pStyle w:val="ConsPlusNormal"/>
        <w:jc w:val="both"/>
      </w:pPr>
    </w:p>
    <w:p w:rsidR="00D80444" w:rsidRPr="00F23DA2" w:rsidRDefault="00F23DA2">
      <w:pPr>
        <w:pStyle w:val="ConsPlusNormal"/>
        <w:jc w:val="both"/>
        <w:rPr>
          <w:i/>
        </w:rPr>
      </w:pPr>
      <w:r w:rsidRPr="00F23DA2">
        <w:rPr>
          <w:i/>
        </w:rPr>
        <w:t>Примечание.</w:t>
      </w:r>
    </w:p>
    <w:p w:rsidR="00D80444" w:rsidRPr="00F23DA2" w:rsidRDefault="00D80444">
      <w:pPr>
        <w:pStyle w:val="ConsPlusNormal"/>
        <w:jc w:val="both"/>
        <w:rPr>
          <w:i/>
        </w:rPr>
      </w:pPr>
      <w:r w:rsidRPr="00F23DA2">
        <w:rPr>
          <w:i/>
        </w:rPr>
        <w:t xml:space="preserve">В официальном тексте документа, видимо, допущена опечатка: имеется в виду ГОСТ </w:t>
      </w:r>
      <w:proofErr w:type="gramStart"/>
      <w:r w:rsidRPr="00F23DA2">
        <w:rPr>
          <w:i/>
        </w:rPr>
        <w:t>Р</w:t>
      </w:r>
      <w:proofErr w:type="gramEnd"/>
      <w:r w:rsidRPr="00F23DA2">
        <w:rPr>
          <w:i/>
        </w:rPr>
        <w:t xml:space="preserve"> 12.4.026-2001, а не ГОСТ 12.4.026-2001.</w:t>
      </w:r>
    </w:p>
    <w:p w:rsidR="00F23DA2" w:rsidRPr="00F23DA2" w:rsidRDefault="00F23DA2">
      <w:pPr>
        <w:pStyle w:val="ConsPlusNormal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>5.2.7. Лакокрасочные покрытия, нанесенные на ГОА, должны соответствовать требованиям ГОСТ 12.4.026.</w:t>
      </w:r>
    </w:p>
    <w:p w:rsidR="00D80444" w:rsidRPr="00F23DA2" w:rsidRDefault="00D80444">
      <w:pPr>
        <w:pStyle w:val="ConsPlusNormal"/>
        <w:spacing w:before="220"/>
        <w:ind w:firstLine="540"/>
        <w:jc w:val="both"/>
        <w:outlineLvl w:val="1"/>
      </w:pPr>
      <w:r w:rsidRPr="00F23DA2">
        <w:t>5.3. Требования к материалам, покупным изделиям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Детали, комплектующие изделия и материалы, используемые при изготовлении ГОА, должны соответствовать технической документации на них.</w:t>
      </w:r>
    </w:p>
    <w:p w:rsidR="00D80444" w:rsidRPr="00F23DA2" w:rsidRDefault="00D80444">
      <w:pPr>
        <w:pStyle w:val="ConsPlusNormal"/>
        <w:spacing w:before="220"/>
        <w:ind w:firstLine="540"/>
        <w:jc w:val="both"/>
        <w:outlineLvl w:val="1"/>
      </w:pPr>
      <w:r w:rsidRPr="00F23DA2">
        <w:t>5.4. Комплектность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5.4.1. В комплект поставки снаряженного устройством пуска ГОА должны входить: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руководство (инструкция) по эксплуатации;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паспорт;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комплект запасных частей и принадлежностей (при необходимости);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кронштейн и крепеж (по условиям поставки).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Примечание. Для генератора, не снаряженного устройством пуска, в комплект поставки должно дополнительно входить устройство пуска.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>5.4.2. В ТД, прилагаемой к ГОА, должны быть указаны следующие характеристики, определяющие его назначение, безопасность и охрану окружающей среды: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5.4.2.1. Масса снаряженного генератора, </w:t>
      </w:r>
      <w:proofErr w:type="gramStart"/>
      <w:r w:rsidRPr="00F23DA2">
        <w:t>кг</w:t>
      </w:r>
      <w:proofErr w:type="gramEnd"/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5.4.2.2. Масса АОС и </w:t>
      </w:r>
      <w:proofErr w:type="spellStart"/>
      <w:r w:rsidRPr="00F23DA2">
        <w:t>ОхЭ</w:t>
      </w:r>
      <w:proofErr w:type="spellEnd"/>
      <w:r w:rsidRPr="00F23DA2">
        <w:t xml:space="preserve"> в снаряженном генераторе, </w:t>
      </w:r>
      <w:proofErr w:type="gramStart"/>
      <w:r w:rsidRPr="00F23DA2">
        <w:t>кг</w:t>
      </w:r>
      <w:proofErr w:type="gramEnd"/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5.4.2.3. Интервал температур эксплуатации и хранения, +/- °C.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5.4.2.4. Огнетушащая способность ГОА при тушении модельных очагов пожара, </w:t>
      </w:r>
      <w:proofErr w:type="gramStart"/>
      <w:r w:rsidRPr="00F23DA2">
        <w:t>кг</w:t>
      </w:r>
      <w:proofErr w:type="gramEnd"/>
      <w:r w:rsidRPr="00F23DA2">
        <w:t>/м</w:t>
      </w:r>
      <w:r w:rsidRPr="00F23DA2">
        <w:rPr>
          <w:vertAlign w:val="superscript"/>
        </w:rPr>
        <w:t>3</w:t>
      </w:r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2" w:name="P197"/>
      <w:bookmarkEnd w:id="2"/>
      <w:r w:rsidRPr="00F23DA2">
        <w:t xml:space="preserve">5.4.2.5. Время работы ГОА (подачи огнетушащего аэрозоля), с, и диапазона его изменения в </w:t>
      </w:r>
      <w:r w:rsidRPr="00F23DA2">
        <w:lastRenderedPageBreak/>
        <w:t>интервале температур эксплуатации.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5.4.2.6. Максимальный объем условно герметичного помещения, в котором генератор обеспечивает тушение модельных очагов пожара класса B, м</w:t>
      </w:r>
      <w:r w:rsidRPr="00F23DA2">
        <w:rPr>
          <w:vertAlign w:val="superscript"/>
        </w:rPr>
        <w:t>3</w:t>
      </w:r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5.4.2.7. Огнетушащая интенсивность подачи аэрозоля из ГОА в максимальном объеме условно герметичного помещения, в котором генератор обеспечивает тушение модельных очагов пожара, </w:t>
      </w:r>
      <w:proofErr w:type="gramStart"/>
      <w:r w:rsidRPr="00F23DA2">
        <w:t>кг</w:t>
      </w:r>
      <w:proofErr w:type="gramEnd"/>
      <w:r w:rsidRPr="00F23DA2">
        <w:t>/(м</w:t>
      </w:r>
      <w:r w:rsidRPr="00F23DA2">
        <w:rPr>
          <w:vertAlign w:val="superscript"/>
        </w:rPr>
        <w:t>3</w:t>
      </w:r>
      <w:r w:rsidRPr="00F23DA2">
        <w:t xml:space="preserve"> x с).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5.4.2.8. Инерционность (время срабатывания), с, и диапазон ее изменения в интервале температур эксплуатации.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5.4.2.9. Огнетушащая способность ГОА по отношению к горючим веществам и материалам, для тушения которых рекомендуется данный генератор, </w:t>
      </w:r>
      <w:proofErr w:type="gramStart"/>
      <w:r w:rsidRPr="00F23DA2">
        <w:t>кг</w:t>
      </w:r>
      <w:proofErr w:type="gramEnd"/>
      <w:r w:rsidRPr="00F23DA2">
        <w:t>/м</w:t>
      </w:r>
      <w:r w:rsidRPr="00F23DA2">
        <w:rPr>
          <w:vertAlign w:val="superscript"/>
        </w:rPr>
        <w:t>3</w:t>
      </w:r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3" w:name="P202"/>
      <w:bookmarkEnd w:id="3"/>
      <w:r w:rsidRPr="00F23DA2">
        <w:t xml:space="preserve">5.4.2.10. Параметры электрического сигнала (величина напряжения, сила тока, его вид и длительность пропускания), необходимые для пуска ГОА, </w:t>
      </w:r>
      <w:proofErr w:type="gramStart"/>
      <w:r w:rsidRPr="00F23DA2">
        <w:t>В</w:t>
      </w:r>
      <w:proofErr w:type="gramEnd"/>
      <w:r w:rsidRPr="00F23DA2">
        <w:t>, А, с.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4" w:name="P203"/>
      <w:bookmarkEnd w:id="4"/>
      <w:r w:rsidRPr="00F23DA2">
        <w:t xml:space="preserve">5.4.2.11. Параметры электрического сигнала (напряжение, сила тока, его вид и длительность пропускания), необходимые для контроля состояния цепи электрического пуска при эксплуатации ГОА в составе установки аэрозольного пожаротушения, </w:t>
      </w:r>
      <w:proofErr w:type="gramStart"/>
      <w:r w:rsidRPr="00F23DA2">
        <w:t>В</w:t>
      </w:r>
      <w:proofErr w:type="gramEnd"/>
      <w:r w:rsidRPr="00F23DA2">
        <w:t>, А, с.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5.4.2.12. Габаритные размеры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5.4.2.13. Данных о показателях надежности работы генератора в соответствии с ГОСТ 27.003.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Порядок </w:t>
      </w:r>
      <w:proofErr w:type="gramStart"/>
      <w:r w:rsidRPr="00F23DA2">
        <w:t>проверки соответствия показателей надежности работы генератора</w:t>
      </w:r>
      <w:proofErr w:type="gramEnd"/>
      <w:r w:rsidRPr="00F23DA2">
        <w:t xml:space="preserve"> данным, приведенным в технической документации на ГОА, должен соответствовать ГОСТ 27.410.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Отказом в работе генератора считается: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несрабатывание генератора;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несоответствие полученного при испытании ГОА времени подачи аэрозоля требованиям 5.4.2.5;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несоответствие результатов испытаний требованиям 5.2.3.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5.4.2.14. Параметры в соответствии с требованиями ГОСТ 12.4.009 (пункт 1.3), определяющие область применения генератора на объектах и стойкость его к внешним воздействиям.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5.4.2.15. Условия транспортирования и хранения.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5.4.2.16. Размеры зон с температурой, большей 75 °C, 200 °C и 400 °C, образующихся при работе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5.4.2.17. Количество тепла, выделяющегося при работе ГОА, Дж.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5.4.2.18. Количество и состав продуктов, образующихся при работе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5.4.2.19. Максимальная высота, после </w:t>
      </w:r>
      <w:proofErr w:type="gramStart"/>
      <w:r w:rsidRPr="00F23DA2">
        <w:t>падения</w:t>
      </w:r>
      <w:proofErr w:type="gramEnd"/>
      <w:r w:rsidRPr="00F23DA2">
        <w:t xml:space="preserve"> с которой происходит </w:t>
      </w:r>
      <w:proofErr w:type="spellStart"/>
      <w:r w:rsidRPr="00F23DA2">
        <w:t>несамопроизвольный</w:t>
      </w:r>
      <w:proofErr w:type="spellEnd"/>
      <w:r w:rsidRPr="00F23DA2">
        <w:t xml:space="preserve"> пуск генератора, сохраняется целостность и работоспособность, 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5.4.2.20. Класс опасности генератора в соответствии с ГОСТ 19433.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5.4.2.21. Максимальная температура корпуса генератора, °C.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lastRenderedPageBreak/>
        <w:t xml:space="preserve">5.4.2.22. Уровень </w:t>
      </w:r>
      <w:proofErr w:type="spellStart"/>
      <w:r w:rsidRPr="00F23DA2">
        <w:t>взрывозащиты</w:t>
      </w:r>
      <w:proofErr w:type="spellEnd"/>
      <w:r w:rsidRPr="00F23DA2">
        <w:t xml:space="preserve"> генератора (при применении ГОА во взрывоопасных зонах).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5.4.2.23. </w:t>
      </w:r>
      <w:proofErr w:type="spellStart"/>
      <w:r w:rsidRPr="00F23DA2">
        <w:t>Озоноразрушающий</w:t>
      </w:r>
      <w:proofErr w:type="spellEnd"/>
      <w:r w:rsidRPr="00F23DA2">
        <w:t xml:space="preserve"> потенциал для огнетушащего аэрозоля, получаемого при работе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5.4.2.24. Размеры зон пожароопасности ГОА, мм.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5.4.2.25. Степень опасности токсического воздействия огнетушащего аэрозоля в количестве, обеспечивающем огнетушащую способность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5.4.2.26. Допустимое напряжение в электроустановках, при котором допускается применение ГОА, В.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5.4.2.27. Классы пожара по ГОСТ 27331, для тушения или локализации которых предназначен конкретный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5.4.2.28. Дополнительно, по требованию заказчика, в технической документации на ГОА могут указываться параметры, характеризующие зажигающую способность генератора по отношению к пожарной нагрузке, находящейся в защищаемом помещении.</w:t>
      </w:r>
    </w:p>
    <w:p w:rsidR="00D80444" w:rsidRPr="00F23DA2" w:rsidRDefault="00D80444">
      <w:pPr>
        <w:pStyle w:val="ConsPlusNormal"/>
        <w:spacing w:before="220"/>
        <w:ind w:firstLine="540"/>
        <w:jc w:val="both"/>
        <w:outlineLvl w:val="1"/>
      </w:pPr>
      <w:r w:rsidRPr="00F23DA2">
        <w:t>5.5. Маркировка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5.5.1. Маркировка ГОА должна быть выполнена на русском языке и содержать следующую информацию: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а) наименование, адрес и, как правило, товарный знак предприятия-изготовителя;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б) условное обозначение ГОА, установленное изготовителем в соответствии со структурой обозначения, указанной в ГОСТ </w:t>
      </w:r>
      <w:proofErr w:type="gramStart"/>
      <w:r w:rsidRPr="00F23DA2">
        <w:t>Р</w:t>
      </w:r>
      <w:proofErr w:type="gramEnd"/>
      <w:r w:rsidRPr="00F23DA2">
        <w:t xml:space="preserve"> 51046;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в) пиктограммы, обозначающие классы пожара (по ГОСТ 27331), для тушения которых может быть использован данный ГОА;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г) диапазон температур эксплуатации, например, </w:t>
      </w:r>
      <w:r w:rsidR="00F23DA2">
        <w:t>«</w:t>
      </w:r>
      <w:r w:rsidRPr="00F23DA2">
        <w:t>Может применяться при температуре от ... до ... °C</w:t>
      </w:r>
      <w:r w:rsidR="00F23DA2">
        <w:t>»</w:t>
      </w:r>
      <w:r w:rsidRPr="00F23DA2">
        <w:t>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д) месяц и год изготовления;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е) отметка (штамп) службы технического контроля предприятия-изготовителя.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Допускается нанесение предостерегающих надписей: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об электрической опасности, например: </w:t>
      </w:r>
      <w:r w:rsidR="00F23DA2">
        <w:t>«</w:t>
      </w:r>
      <w:r w:rsidRPr="00F23DA2">
        <w:t xml:space="preserve">ГОА </w:t>
      </w:r>
      <w:proofErr w:type="gramStart"/>
      <w:r w:rsidRPr="00F23DA2">
        <w:t>пригоден</w:t>
      </w:r>
      <w:proofErr w:type="gramEnd"/>
      <w:r w:rsidRPr="00F23DA2">
        <w:t xml:space="preserve"> для тушения пожаров электрооборудования под напряжением не более... </w:t>
      </w:r>
      <w:proofErr w:type="gramStart"/>
      <w:r w:rsidRPr="00F23DA2">
        <w:t>В</w:t>
      </w:r>
      <w:r w:rsidR="00F23DA2">
        <w:t>»</w:t>
      </w:r>
      <w:r w:rsidRPr="00F23DA2">
        <w:t xml:space="preserve"> (с указанием допустимого напряжения);</w:t>
      </w:r>
      <w:proofErr w:type="gramEnd"/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о токсичности, например: </w:t>
      </w:r>
      <w:r w:rsidR="00F23DA2">
        <w:t>«</w:t>
      </w:r>
      <w:r w:rsidRPr="00F23DA2">
        <w:t>ВНИМАНИЕ: Выделяющиеся при тушении огнетушащие аэрозоли вызывают раздражение органов дыхания и зрения</w:t>
      </w:r>
      <w:r w:rsidR="00F23DA2">
        <w:t>»</w:t>
      </w:r>
      <w:r w:rsidRPr="00F23DA2">
        <w:t>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указание: </w:t>
      </w:r>
      <w:r w:rsidR="00F23DA2">
        <w:t>«</w:t>
      </w:r>
      <w:r w:rsidRPr="00F23DA2">
        <w:t>Предохранять от ударов и воздействия осадков, прямых солнечных лучей и нагревательных приборов</w:t>
      </w:r>
      <w:r w:rsidR="00F23DA2">
        <w:t>»</w:t>
      </w:r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5.5.2. Маркировку на корпусе выполняют с использованием методов, обеспечивающих ее сохранность в течение всего срока службы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Запрещается применять бумажные этикетки маркировки без защиты от возможного воздействия ОА или факторов окружающей среды.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5.5.3. Запрещается наносить какие-либо пометки, выполненные нетипографским способом, </w:t>
      </w:r>
      <w:r w:rsidRPr="00F23DA2">
        <w:lastRenderedPageBreak/>
        <w:t>на этикетку маркировки ГОА (кроме даты выпуска и массы снаряженного ГОА).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5.5.4. Транспортная маркировка должна быть по ГОСТ 19433. Манипуляционные знаки, основные, дополнительные и информационные надписи и способ выполнения маркировки должны быть указаны в ТД </w:t>
      </w:r>
      <w:proofErr w:type="gramStart"/>
      <w:r w:rsidRPr="00F23DA2">
        <w:t>на</w:t>
      </w:r>
      <w:proofErr w:type="gramEnd"/>
      <w:r w:rsidRPr="00F23DA2">
        <w:t xml:space="preserve"> конкретный ГОА.</w:t>
      </w:r>
    </w:p>
    <w:p w:rsidR="00D80444" w:rsidRPr="00F23DA2" w:rsidRDefault="00D80444">
      <w:pPr>
        <w:pStyle w:val="ConsPlusNormal"/>
        <w:spacing w:before="220"/>
        <w:ind w:firstLine="540"/>
        <w:jc w:val="both"/>
        <w:outlineLvl w:val="1"/>
      </w:pPr>
      <w:r w:rsidRPr="00F23DA2">
        <w:t>5.6. Испытания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5.6.1. Для контроля соответствия параметров ГОА требованиям настоящего стандарта и ТД проводят предварительные, приемосдаточные, приемочные, квалификационные, периодические, типовые испытания и испытания на надежность.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5.6.2. Предварительные испытания проводит изготовитель на опытных образцах или на образцах опытной партии ГОА с целью определения возможности их предъявления на приемочные испытания.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5.6.3. Приемочные испытания при постановке ГОА на производство проводят в соответствии с требованиями ГОСТ </w:t>
      </w:r>
      <w:proofErr w:type="gramStart"/>
      <w:r w:rsidRPr="00F23DA2">
        <w:t>Р</w:t>
      </w:r>
      <w:proofErr w:type="gramEnd"/>
      <w:r w:rsidRPr="00F23DA2">
        <w:t xml:space="preserve"> 15.201. Объем испытаний определяется типовой программой или программой, составленной разработчиком (изготовителем) и согласованной в установленном порядке.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Результаты проверки параметров ГОА, которые требуют проведения длительных испытаний или испытаний с использованием оборудования сторонних организаций, могут быть представлены протоколами предварительных испытаний.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5.6.4. Квалификационные испытания проводят на образцах установочной серии или первой промышленной партии для определения готовности предприятия к выпуску продукции.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5.6.5. Приемосдаточные испытания проводит служба технического контроля предприятия-изготовителя в объеме, определенном технической документацией ГОА и необходимом для принятия решения о возможности его поставки потребителю.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5.6.6. Периодические испытания проводят для контроля стабильности технологического процесса и качества продукции не реже одного раза в три года на образцах, прошедших приемосдаточные испытания.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5.6.7. Типовые испытания проводят, если при изготовлении генераторов вносятся конструктивные, рецептурные и технологические изменения, способные повлиять на основные параметры и работоспособность ГОА. Программу испытаний составляют в зависимости от характера изменений и согласовывают с разработчиком конструкторской документации.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5.6.8. Испытания ГОА на надежность проводят не реже одного раза в три года или в том случае, если при изготовлении генераторов вносятся конструктивные, рецептурные и технологические изменения.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5.6.9. Считается, что ГОА выдержал испытания, если ни по одному из параметров, указанных для данного вида испытаний, не было получено отрицательного результата.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5.6.10. В случае получения отрицательных результатов по какому-либо виду испытаний (кроме испытаний на прочность, разрушение и надежность, для которых полученные положительные или отрицательные результаты испытаний являются окончательными) количество испытуемых образцов удваивают и испытания повторяют в полном объеме. При повторном получении отрицательных результатов по любому из показателей дальнейшее проведение испытаний должно быть прекращено до выявления и устранения причин обнаруженных дефектов, после чего испытания проводят с начала и в полном объеме.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lastRenderedPageBreak/>
        <w:t>5.6.11. Количественную выборку ГОА для испытаний проводят методом случайного или систематического отбора по ГОСТ 18321.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center"/>
        <w:outlineLvl w:val="0"/>
        <w:rPr>
          <w:b/>
        </w:rPr>
      </w:pPr>
      <w:r w:rsidRPr="00F23DA2">
        <w:rPr>
          <w:b/>
        </w:rPr>
        <w:t>6. Требования безопасности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 xml:space="preserve">6.1. Значение </w:t>
      </w:r>
      <w:proofErr w:type="spellStart"/>
      <w:r w:rsidRPr="00F23DA2">
        <w:t>озоноразрушающего</w:t>
      </w:r>
      <w:proofErr w:type="spellEnd"/>
      <w:r w:rsidRPr="00F23DA2">
        <w:t xml:space="preserve"> потенциала для огнетушащего аэрозоля, получаемого при работе генератора, не должно превышать 0,01.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6.2. Опасность ГОА в соответствии с классификацией опасных грузов по ГОСТ 19433 не должна быть выше подкласса 4.1.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6.3. Электрическое сопротивление между корпусом ГОА и клеммами, служащими для подачи электрического сигнала, запускающего генератор, при нормальных климатических условиях по ГОСТ 15150 должно составлять не менее 1 МОм.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6.4. Напряжение электрического сигнала для приведения ГОА с электрическим пуском в действие не должно превышать 36 В.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6.5. Поставщик (изготовитель) ГОА должен </w:t>
      </w:r>
      <w:proofErr w:type="gramStart"/>
      <w:r w:rsidRPr="00F23DA2">
        <w:t>установить условия</w:t>
      </w:r>
      <w:proofErr w:type="gramEnd"/>
      <w:r w:rsidRPr="00F23DA2">
        <w:t xml:space="preserve"> и характеристики применения генераторов в составе установок пожаротушения, при которых они не будут являться источником острого токсического воздействия на людей и зажигания горючих материалов, находящихся в защищаемом помещении.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jc w:val="center"/>
        <w:outlineLvl w:val="0"/>
        <w:rPr>
          <w:b/>
        </w:rPr>
      </w:pPr>
      <w:r w:rsidRPr="00F23DA2">
        <w:rPr>
          <w:b/>
        </w:rPr>
        <w:t>7. Методы испытаний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>7.1. ГОА, представляемый на испытания (если нет специальных указаний), должен иметь техническую документацию (ТУ, паспорт, руководство по эксплуатации) и следующие заключения специализированных организаций, аккредитованных в установленном порядке, о значениях параметров, характеризующих его область применения, безопасность, охрану здоровья и природы: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а) заключение о классе опасности генератора в соответствии с ГОСТ 19433;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б) заключение об уровне </w:t>
      </w:r>
      <w:proofErr w:type="spellStart"/>
      <w:r w:rsidRPr="00F23DA2">
        <w:t>взрывозащиты</w:t>
      </w:r>
      <w:proofErr w:type="spellEnd"/>
      <w:r w:rsidRPr="00F23DA2">
        <w:t xml:space="preserve"> генератора (при применении ГОА во взрывоопасных зонах);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в) заключение о допустимом напряжении применения (при применении в электроустановках);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г) санитарно-эпидемиологическое заключение;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д) заключение об </w:t>
      </w:r>
      <w:proofErr w:type="spellStart"/>
      <w:r w:rsidRPr="00F23DA2">
        <w:t>озоноразрушающем</w:t>
      </w:r>
      <w:proofErr w:type="spellEnd"/>
      <w:r w:rsidRPr="00F23DA2">
        <w:t xml:space="preserve"> потенциале для огнетушащего аэрозоля, получаемого при работе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7.2. В испытаниях (если нет специальных указаний) для ГОА определяют в соответствии с настоящим стандартом следующие характеристики: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габаритные размеры (по 7.3);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массу снаряженного генератора (по 7.4);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огнетушащую способность генератора (по 7.5);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максимальный объем условно герметичного помещения, в котором ГОА обеспечивает тушение модельных очагов пожара классов B, A (по 7.5);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lastRenderedPageBreak/>
        <w:t>- огнетушащую интенсивность подачи аэрозоля из ГОА, обеспечивающую тушение модельных очагов пожара классов B, A (по 7.5, 7.15);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время работы ГОА (подачи огнетушащего аэрозоля) (по 7.6);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инерционность (время срабатывания) ГОА (по 7.7);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размеры зон с температурой больше 75 °C, 200 °C и 400 °C, образующиеся при работе ГОА (по 7.8);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параметры электрического сигнала, необходимые для пуска ГОА (по 7.9);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параметры электрического сигнала, необходимые для контроля состояния цепи электрического пуска при эксплуатации ГОА в составе установки аэрозольного пожаротушения (по 7.10);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работоспособность </w:t>
      </w:r>
      <w:proofErr w:type="gramStart"/>
      <w:r w:rsidRPr="00F23DA2">
        <w:t>снаряженного</w:t>
      </w:r>
      <w:proofErr w:type="gramEnd"/>
      <w:r w:rsidRPr="00F23DA2">
        <w:t xml:space="preserve"> ГОА в интервале температур эксплуатации (по 7.11);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устойчивость генератора к внешним вибрационным воздействиям (по 7.12);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состояние корпуса ГОА после окончания работы генератора (по 7.13);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максимальную температуру корпуса генератора во время работы (по 7.14);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огнетушащую способность ГОА для тушения модельных очагов пожара подклассов A2 и A1 (по 7.15.1 и 7.15.2);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электрическое сопротивление между корпусом и клеммами, служащими для подачи электрического сигнала на пуск генератора (по 7.16);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качество защитных и защитно-декоративных лакокрасочных покрытий деталей генератора (по 7.17);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соответствие комплектности, маркировки и упаковки требованиям настоящего стандарта, а также наличие устройства для опломбирования ГОА (по 7.18);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размеры зон </w:t>
      </w:r>
      <w:proofErr w:type="spellStart"/>
      <w:r w:rsidRPr="00F23DA2">
        <w:t>пожароопасности</w:t>
      </w:r>
      <w:proofErr w:type="spellEnd"/>
      <w:r w:rsidRPr="00F23DA2">
        <w:t xml:space="preserve"> ГОА (по 7.19).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5" w:name="P292"/>
      <w:bookmarkEnd w:id="5"/>
      <w:r w:rsidRPr="00F23DA2">
        <w:t>7.3. Габаритные размеры ГОА определяют стандартным инструментом с погрешностью измерения не более 2%. Проводят три параллельных измерения каждого габаритного размера для одного ГОА. За результат измерений принимают среднее арифметическое значение.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6" w:name="P293"/>
      <w:bookmarkEnd w:id="6"/>
      <w:r w:rsidRPr="00F23DA2">
        <w:t>7.4. Массу снаряженного ГОА (а также генератора после испытаний) определяют взвешиванием на весах с погрешностью, не превышающей 2%.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За результат определения принимают среднее арифметическое трех параллельных взвешиваний для одного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7" w:name="P295"/>
      <w:bookmarkEnd w:id="7"/>
      <w:r w:rsidRPr="00F23DA2">
        <w:t>7.5. Огнетушащую способность генератора по отношению к модельным очагам пожара класса B, максимальный объем условно герметичного помещения, в котором ГОА обеспечивает тушение модельных очагов пожара класса B, а также огнетушащую интенсивность подачи аэрозоля из ГОА, обеспечивающую тушение при этом модельных очагов, определяют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Для испытаний используют: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огневую камеру (испытательное помещение) - условно герметичное помещение из </w:t>
      </w:r>
      <w:r w:rsidRPr="00F23DA2">
        <w:lastRenderedPageBreak/>
        <w:t xml:space="preserve">негорючего материала, объем которого должен быть равен сумме значений максимальных объемов защищаемых условно герметичных помещений для всех одновременно испытываемых ГОА одного типоразмера. </w:t>
      </w:r>
      <w:proofErr w:type="gramStart"/>
      <w:r w:rsidRPr="00F23DA2">
        <w:t>Отклонение фактического значения объема испытательного помещения от требуемого должно составлять не более 5%. Помещение огневой камеры для проведения испытаний должно иметь отношение длины к ширине в пределах от 1:1 до 2:1 и длины к высоте в пределах от 1:1 до 2:1;</w:t>
      </w:r>
      <w:proofErr w:type="gramEnd"/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модельные очаги класса B - не менее четырех цилиндрических горелок из нержавеющей стали или стали по ГОСТ 5632 толщиной (5 +/- 1) мм с внутренним диаметром (80 +/- 5) мм и высотой (110 +/- 2) мм, которые имеют специальный экран для защиты их от прямого динамического воздействия струи огнетушащего аэрозоля; горючая жидкость в горелках - н-гептан по ГОСТ 25828 или бензин АИ-93 (класс 2) по ГОСТ 2084;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термоэлектрические преобразователи типа ТХА по ГОСТ </w:t>
      </w:r>
      <w:proofErr w:type="gramStart"/>
      <w:r w:rsidRPr="00F23DA2">
        <w:t>Р</w:t>
      </w:r>
      <w:proofErr w:type="gramEnd"/>
      <w:r w:rsidRPr="00F23DA2">
        <w:t xml:space="preserve"> 6616 с диаметром проволоки не более 0,1 мм (класс допуска 2). На каждый модельный очаг пожара устанавливается по два </w:t>
      </w:r>
      <w:proofErr w:type="spellStart"/>
      <w:r w:rsidRPr="00F23DA2">
        <w:t>термоэлектропреобразователя</w:t>
      </w:r>
      <w:proofErr w:type="spellEnd"/>
      <w:r w:rsidRPr="00F23DA2">
        <w:t>. Один из термоэлектрических преобразователей закрепляют над модельным очагом (по центру) на расстоянии (10 +/- 2) мм от верхнего его края, второй - в стороне от модельного очага на расстоянии (100 +/- 20) мм на уровне верхнего его края;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устройство для измерения и регистрации изменения температуры класса точности не ниже 0,5 с диапазоном измерения температуры, соответствующим типу термоэлектрического преобразователя и погрешностью измерения времени не более 1 с.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Проведение испытаний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Внешние условия проведения испытаний следующие: температура окружающей среды - от 15 °C до 25 °C, давление - от 84 до 106,7 кПа, относительная влажность воздуха - от 40% </w:t>
      </w:r>
      <w:proofErr w:type="gramStart"/>
      <w:r w:rsidRPr="00F23DA2">
        <w:t>до</w:t>
      </w:r>
      <w:proofErr w:type="gramEnd"/>
      <w:r w:rsidRPr="00F23DA2">
        <w:t xml:space="preserve"> 80%.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В огневой камере устанавливают один или несколько испытываемых ГОА. Количество испытуемых ГОА должно соответствовать объему огневой камеры (испытательного помещения).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Размещают в огневой камере модельные очаги (горелки) с термоэлектрическими преобразователями: две горелки относительно пола на уровне 10% и по одной горелке на уровнях 50% и 90% от высоты камеры, так, чтобы стр</w:t>
      </w:r>
      <w:proofErr w:type="gramStart"/>
      <w:r w:rsidRPr="00F23DA2">
        <w:t>уи аэ</w:t>
      </w:r>
      <w:proofErr w:type="gramEnd"/>
      <w:r w:rsidRPr="00F23DA2">
        <w:t>розоля из ГОА не оказывали на них прямого воздействия. Каждая горелка размещена на расстоянии (50 +/- 5) мм от стены камеры.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Заливают в горелки горючую жидкость так, чтобы ее уровень был на 50 мм ниже верхнего среза горелки. Поджигают горючее, включают устройства для измерения и регистрации показаний термоэлектрических преобразователей и дают выдержку 30 с, обеспечивая доступ воздуха в камеру.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По истечении 30 </w:t>
      </w:r>
      <w:proofErr w:type="gramStart"/>
      <w:r w:rsidRPr="00F23DA2">
        <w:t>с</w:t>
      </w:r>
      <w:proofErr w:type="gramEnd"/>
      <w:r w:rsidRPr="00F23DA2">
        <w:t xml:space="preserve"> свободного горения очагов помещение закрывают и производят пуск испытываемых генераторов.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Результат испытаний в каждом эксперименте считают положительным, если пламя во всех горелках гаснет в течение 60 с после окончания подачи аэрозоля. Время тушения модельных очагов определяют по показаниям термоэлектрических преобразователей для последнего потушенного очага. Повторные загорания не должны возникать в течение 10 мин.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Результаты испытаний ГОА считают положительными, если в двух экспериментах из трех определений получены положительные результаты. При положительном результате в первых двух испытаниях третье испытание не проводят.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Критерием тушения считают достижение момента, когда величина температуры над очагом превышает не более чем на 20% величину температуры рядом с этим же модельным очагом.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lastRenderedPageBreak/>
        <w:t>Огнетушащую способность ГОА определяют по формуле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F23DA2">
      <w:pPr>
        <w:pStyle w:val="ConsPlusNormal"/>
        <w:jc w:val="center"/>
      </w:pPr>
      <w:bookmarkStart w:id="8" w:name="P312"/>
      <w:bookmarkEnd w:id="8"/>
      <w:r w:rsidRPr="00F23DA2">
        <w:rPr>
          <w:position w:val="-9"/>
        </w:rPr>
        <w:pict>
          <v:shape id="_x0000_i1031" style="width:152.05pt;height:20.95pt" coordsize="" o:spt="100" adj="0,,0" path="" filled="f" stroked="f">
            <v:stroke joinstyle="miter"/>
            <v:imagedata r:id="rId12" o:title="base_44_11370_16"/>
            <v:formulas/>
            <v:path o:connecttype="segments"/>
          </v:shape>
        </w:pict>
      </w:r>
      <w:r w:rsidR="00D80444" w:rsidRPr="00F23DA2">
        <w:t xml:space="preserve">, </w:t>
      </w:r>
      <w:proofErr w:type="gramStart"/>
      <w:r w:rsidR="00D80444" w:rsidRPr="00F23DA2">
        <w:t>кг</w:t>
      </w:r>
      <w:proofErr w:type="gramEnd"/>
      <w:r w:rsidR="00D80444" w:rsidRPr="00F23DA2">
        <w:t>/м</w:t>
      </w:r>
      <w:r w:rsidR="00D80444" w:rsidRPr="00F23DA2">
        <w:rPr>
          <w:vertAlign w:val="superscript"/>
        </w:rPr>
        <w:t>3</w:t>
      </w:r>
      <w:r w:rsidR="00D80444" w:rsidRPr="00F23DA2">
        <w:t>, (1)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 xml:space="preserve">где </w:t>
      </w:r>
      <w:r w:rsidR="00F23DA2" w:rsidRPr="00F23DA2">
        <w:rPr>
          <w:position w:val="-8"/>
        </w:rPr>
        <w:pict>
          <v:shape id="_x0000_i1032" style="width:36pt;height:20.4pt" coordsize="" o:spt="100" adj="0,,0" path="" filled="f" stroked="f">
            <v:stroke joinstyle="miter"/>
            <v:imagedata r:id="rId13" o:title="base_44_11370_17"/>
            <v:formulas/>
            <v:path o:connecttype="segments"/>
          </v:shape>
        </w:pict>
      </w:r>
      <w:r w:rsidRPr="00F23DA2">
        <w:t xml:space="preserve"> - масса снаряженного генератора до испытаний, </w:t>
      </w:r>
      <w:proofErr w:type="gramStart"/>
      <w:r w:rsidRPr="00F23DA2">
        <w:t>кг</w:t>
      </w:r>
      <w:proofErr w:type="gramEnd"/>
      <w:r w:rsidRPr="00F23DA2">
        <w:t>;</w:t>
      </w:r>
    </w:p>
    <w:p w:rsidR="00D80444" w:rsidRPr="00F23DA2" w:rsidRDefault="00F23DA2">
      <w:pPr>
        <w:pStyle w:val="ConsPlusNormal"/>
        <w:spacing w:before="220"/>
        <w:ind w:firstLine="540"/>
        <w:jc w:val="both"/>
      </w:pPr>
      <w:r w:rsidRPr="00F23DA2">
        <w:rPr>
          <w:position w:val="-8"/>
        </w:rPr>
        <w:pict>
          <v:shape id="_x0000_i1033" style="width:36.55pt;height:20.4pt" coordsize="" o:spt="100" adj="0,,0" path="" filled="f" stroked="f">
            <v:stroke joinstyle="miter"/>
            <v:imagedata r:id="rId14" o:title="base_44_11370_18"/>
            <v:formulas/>
            <v:path o:connecttype="segments"/>
          </v:shape>
        </w:pict>
      </w:r>
      <w:r w:rsidR="00D80444" w:rsidRPr="00F23DA2">
        <w:t xml:space="preserve">- масса генератора после испытаний, </w:t>
      </w:r>
      <w:proofErr w:type="gramStart"/>
      <w:r w:rsidR="00D80444" w:rsidRPr="00F23DA2">
        <w:t>кг</w:t>
      </w:r>
      <w:proofErr w:type="gramEnd"/>
      <w:r w:rsidR="00D80444" w:rsidRPr="00F23DA2">
        <w:t>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n - количество испытываемых в одном опыте генераторов одного типоразмера, шт.;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V - объем условно герметичного помещения, в котором испытываемые генераторы обеспечили тушение модельных очагов, м</w:t>
      </w:r>
      <w:r w:rsidRPr="00F23DA2">
        <w:rPr>
          <w:vertAlign w:val="superscript"/>
        </w:rPr>
        <w:t>3</w:t>
      </w:r>
      <w:r w:rsidRPr="00F23DA2">
        <w:t>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Огнетушащую интенсивность подачи аэрозоля из ГОА определяют по данным огнетушащей способности (1) и времени работы ГОА (см. 7.6) по формуле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F23DA2">
      <w:pPr>
        <w:pStyle w:val="ConsPlusNormal"/>
        <w:jc w:val="center"/>
      </w:pPr>
      <w:r w:rsidRPr="00F23DA2">
        <w:rPr>
          <w:position w:val="-9"/>
        </w:rPr>
        <w:pict>
          <v:shape id="_x0000_i1034" style="width:75.2pt;height:20.95pt" coordsize="" o:spt="100" adj="0,,0" path="" filled="f" stroked="f">
            <v:stroke joinstyle="miter"/>
            <v:imagedata r:id="rId15" o:title="base_44_11370_19"/>
            <v:formulas/>
            <v:path o:connecttype="segments"/>
          </v:shape>
        </w:pict>
      </w:r>
      <w:r w:rsidR="00D80444" w:rsidRPr="00F23DA2">
        <w:t xml:space="preserve">, </w:t>
      </w:r>
      <w:proofErr w:type="gramStart"/>
      <w:r w:rsidR="00D80444" w:rsidRPr="00F23DA2">
        <w:t>кг</w:t>
      </w:r>
      <w:proofErr w:type="gramEnd"/>
      <w:r w:rsidR="00D80444" w:rsidRPr="00F23DA2">
        <w:t>/(м</w:t>
      </w:r>
      <w:r w:rsidR="00D80444" w:rsidRPr="00F23DA2">
        <w:rPr>
          <w:vertAlign w:val="superscript"/>
        </w:rPr>
        <w:t>3</w:t>
      </w:r>
      <w:r w:rsidR="00D80444" w:rsidRPr="00F23DA2">
        <w:t xml:space="preserve"> x с). (2)</w:t>
      </w:r>
    </w:p>
    <w:p w:rsidR="00D80444" w:rsidRPr="00F23DA2" w:rsidRDefault="00D80444">
      <w:pPr>
        <w:pStyle w:val="ConsPlusNormal"/>
        <w:ind w:firstLine="540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bookmarkStart w:id="9" w:name="P322"/>
      <w:bookmarkEnd w:id="9"/>
      <w:r w:rsidRPr="00F23DA2">
        <w:t>7.6. Время работы ГОА (подача огнетушащего аэрозоля) определяют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Для испытаний используют: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стапель - устройство для крепления ГОА на необходимой высоте;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телевизионную камеру или кинокамеру;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секундомер с пределом измерения не менее 30 мин и ценой деления не более 0,2 с.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Подготовка к проведению испытаний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Генератор, снаряженный устройством пуска, закрепляют на стапеле (на высоте не менее 1 м в произвольном положении), расположенном на открытом пространстве в защищенном от ветра месте.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Включают телекамеру (кинокамеру) и подают сигнал на пуск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Проводят испытания трех ГОА по определению времени подачи огнетушащего аэрозоля. После окончания испытаний обрабатывают кадры видеосъемки и определяют время подачи аэрозоля в каждом опыте.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За время подачи огнетушащего аэрозоля принимается среднее арифметическое значение промежутка времени между наблюдаемым началом и окончанием истечения стр</w:t>
      </w:r>
      <w:proofErr w:type="gramStart"/>
      <w:r w:rsidRPr="00F23DA2">
        <w:t>уи аэ</w:t>
      </w:r>
      <w:proofErr w:type="gramEnd"/>
      <w:r w:rsidRPr="00F23DA2">
        <w:t>розоля из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10" w:name="P332"/>
      <w:bookmarkEnd w:id="10"/>
      <w:r w:rsidRPr="00F23DA2">
        <w:t>7.7. Инерционность (время срабатывания) ГОА определяют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Для испытаний используют: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стапель - устройство для крепления ГОА на необходимой высоте;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датчик температуры - термоэлектрический преобразователь типа ТВР, ТХА или ТХК по ГОСТ </w:t>
      </w:r>
      <w:proofErr w:type="gramStart"/>
      <w:r w:rsidRPr="00F23DA2">
        <w:t>Р</w:t>
      </w:r>
      <w:proofErr w:type="gramEnd"/>
      <w:r w:rsidRPr="00F23DA2">
        <w:t xml:space="preserve"> 6616, класс допуска 2 с диаметром проволоки не более 0,1 мм;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устройство регистрации момента подачи сигнала на пуск ГОА, измерения и регистрации температуры во времени с диапазоном измерения температуры, соответствующим </w:t>
      </w:r>
      <w:r w:rsidRPr="00F23DA2">
        <w:lastRenderedPageBreak/>
        <w:t>температурному диапазону термоэлектрического преобразователя, и погрешностью измерения времени не более 0,02 с.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Подготовка к проведению испытаний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Генератор, снаряженный устройством пуска, закрепляют на высоте 1 - 2 м на стапеле, расположенном в испытательном боксе или на открытом пространстве в защищенном от ветра месте. Устанавливают датчик температуры на оси выпускного отверстия генератора на расстоянии не более 20 мм от его среза и подсоединяют его к устройству для измерения и регистрации температуры.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Включают регистрирующее и измерительное устройство, после чего подают сигнал на пуск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После окончания работы генератора обрабатывают результаты регистрации. Определяют промежуток времени между моментом подачи сигнала на пуск ГОА и началом повышения температуры, регистрируемой датчиком. Началом повышения температуры считают точку </w:t>
      </w:r>
      <w:proofErr w:type="gramStart"/>
      <w:r w:rsidRPr="00F23DA2">
        <w:t>сопряжения прямолинейного участка графической зависимости показаний датчика температуры</w:t>
      </w:r>
      <w:proofErr w:type="gramEnd"/>
      <w:r w:rsidRPr="00F23DA2">
        <w:t xml:space="preserve"> от температуры с криволинейным участком этой зависимости.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Проводят испытания трех генераторов. За инерционность ГОА принимают среднее арифметическое значение.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11" w:name="P342"/>
      <w:bookmarkEnd w:id="11"/>
      <w:r w:rsidRPr="00F23DA2">
        <w:t>7.8. Размеры зон с температурой (75 +/- 10) °C, (200 +/- 20) °C и (400 +/- 50) °C, образующихся при работе ГОА, определяют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Для проведения испытаний используются устройства для измерения и регистрации изменения термоэлектродвижущей силы.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В помещении, линейные размеры которого не менее чем двукратно превышают указанные в ТД на испытываемый ГОА размеры зоны с температурой более 75 °C, на стапеле устанавливается генератор таким образом, чтобы обеспечить свободное истечение стр</w:t>
      </w:r>
      <w:proofErr w:type="gramStart"/>
      <w:r w:rsidRPr="00F23DA2">
        <w:t>уи аэ</w:t>
      </w:r>
      <w:proofErr w:type="gramEnd"/>
      <w:r w:rsidRPr="00F23DA2">
        <w:t>розоля.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На соответствующих расстояниях от генератора, указанных в ТД, устанавливают термоэлектрические преобразователи, подключенные к регистрирующему устройству.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Пуск ГОА осуществляют в соответствии с инструкцией по эксплуатации. Фиксируют максимальные показания температуры каждого термоэлектрического преобразователя за все время работы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Измерения производят последовательно для трех образцов генераторов.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Результатом испытания считают максимальное показание температуры для каждого </w:t>
      </w:r>
      <w:proofErr w:type="gramStart"/>
      <w:r w:rsidRPr="00F23DA2">
        <w:t>преобразователя</w:t>
      </w:r>
      <w:proofErr w:type="gramEnd"/>
      <w:r w:rsidRPr="00F23DA2">
        <w:t xml:space="preserve"> и оно не должно превышать значений, указанных в ТД для каждой зоны значений.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12" w:name="P349"/>
      <w:bookmarkEnd w:id="12"/>
      <w:r w:rsidRPr="00F23DA2">
        <w:t>7.9. Испытания на срабатывание ГОА от электрического сигнала, обеспечивающего пуск генератора, проводят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Для испытаний используют: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стапель - устройство для крепления ГОА на необходимой высоте;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электрический источник питания, обеспечивающий пропускание через узел пуска ГОА электрического тока с параметрами и допусками, заданными в технической документации;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устройство для измерения и регистрации величины и времени прохождения </w:t>
      </w:r>
      <w:r w:rsidRPr="00F23DA2">
        <w:lastRenderedPageBreak/>
        <w:t>электрического тока через узел пуска ГОА с погрешностью измерения электрического тока 10% и погрешностью измерения времени не более 0,02 с.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Генератор монтируют на стапеле на открытой площадке в произвольном положении. Подключают генератор к электрическому источнику, обеспечивающему пропускание через устройство пуска ГОА заданного в технической документации вида тока с минимальной величиной.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Включают устройство для измерения и регистрации величины электрического тока и времени его прохождения через узел пуска ГОА. Подают сигнал на пуск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Опыт повторяют на новом генераторе, при условии пропускания через устройство пуска ГОА заданного в технической документации вида тока с максимальной величиной.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Проводят по одному испытанию для каждой величины тока (минимальная и максимальная).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Регистрируют результаты опыта (срабатывание или несрабатывание ГОА, величину тока и время его прохождения через устройство пуска ГОА).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13" w:name="P359"/>
      <w:bookmarkEnd w:id="13"/>
      <w:r w:rsidRPr="00F23DA2">
        <w:t xml:space="preserve">7.10. Испытание на отсутствие срабатывания ГОА от </w:t>
      </w:r>
      <w:proofErr w:type="spellStart"/>
      <w:r w:rsidRPr="00F23DA2">
        <w:t>электросигнала</w:t>
      </w:r>
      <w:proofErr w:type="spellEnd"/>
      <w:r w:rsidRPr="00F23DA2">
        <w:t xml:space="preserve"> с параметрами, обеспечивающими контроль цепи электрического пуска, проводят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Для испытаний используют: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стапель - устройство для крепления ГОА на необходимой высоте;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электрический источник питания, обеспечивающий пропускание через устройство пуска ГОА электрического тока необходимого вида и величины;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устройство для измерения электрического тока с погрешностью не более 10%;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секундомер с пределом измерения не менее 30 мин и ценой деления не более 0,2 с.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Генератор монтируют аналогично 7.5 настоящего стандарта. Подключают генератор к электрическому источнику, обеспечивающему подачу через устройство пуска ГОА тока, превышающего на 10% максимальный ток контроля. Включают подачу электрического сигнала на устройство пуска в течение времени, заданного в технической документации.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Во время опыта фиксируют величину тока, проходящего через устройство пуска ГОА. По истечении заданного времени отключают источник тока и фиксируют результат опыта. Проводят испытания одного генератора. Во время испытаний не должно происходить срабатывание устройства пуска ГОА и пуска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14" w:name="P367"/>
      <w:bookmarkEnd w:id="14"/>
      <w:r w:rsidRPr="00F23DA2">
        <w:t xml:space="preserve">7.11. Работоспособность </w:t>
      </w:r>
      <w:proofErr w:type="gramStart"/>
      <w:r w:rsidRPr="00F23DA2">
        <w:t>снаряженного</w:t>
      </w:r>
      <w:proofErr w:type="gramEnd"/>
      <w:r w:rsidRPr="00F23DA2">
        <w:t xml:space="preserve"> ГОА в интервале температур эксплуатации определяют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Сущность метода заключается в определении соответствия времени работы (подачи огнетушащего аэрозоля) и инерционности ГОА при предельной положительной и отрицательной температурах эксплуатации техническим характеристикам генератора огнетушащего аэрозоля.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Для испытаний используют камеру холода (тепла), позволяющую </w:t>
      </w:r>
      <w:proofErr w:type="spellStart"/>
      <w:r w:rsidRPr="00F23DA2">
        <w:t>термостатировать</w:t>
      </w:r>
      <w:proofErr w:type="spellEnd"/>
      <w:r w:rsidRPr="00F23DA2">
        <w:t xml:space="preserve"> генератор при предельной отрицательной (положительной) температуре эксплуатации с точностью +/- 2 °C.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Устанавливают в камере холода (тепла) предельную отрицательную (положительную) температуру эксплуатации ГОА. Генераторы в количестве, необходимом для определения времени подачи и инерционности, помещают в камеру холода (тепла) и выдерживают в ней при </w:t>
      </w:r>
      <w:r w:rsidRPr="00F23DA2">
        <w:lastRenderedPageBreak/>
        <w:t>предельной отрицательной (положительной) температуре эксплуатации в течение времени, необходимого для охлаждения (нагрева) ГОА до данной температуры. Время достижения предельной температуры испытаний каждым генератором определяют опытным путем. Извлекают генератор из камеры и определяют время подачи огнетушащего аэрозоля и инерционность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Время от момента извлечения ГОА из камеры холода (тепла) до начала испытаний не должно превышать 1,5% от времени </w:t>
      </w:r>
      <w:proofErr w:type="spellStart"/>
      <w:r w:rsidRPr="00F23DA2">
        <w:t>термостатирования</w:t>
      </w:r>
      <w:proofErr w:type="spellEnd"/>
      <w:r w:rsidRPr="00F23DA2">
        <w:t xml:space="preserve"> генератора в камере холода (тепла).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proofErr w:type="gramStart"/>
      <w:r w:rsidRPr="00F23DA2">
        <w:t>Генератор считается прошедшим испытания, если время подачи огнетушащего аэрозоля и его инерционность при предельной отрицательной и предельной положительной температурах эксплуатации соответствуют значениям, установленным изготовителем в технической документации.</w:t>
      </w:r>
      <w:proofErr w:type="gramEnd"/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15" w:name="P373"/>
      <w:bookmarkEnd w:id="15"/>
      <w:r w:rsidRPr="00F23DA2">
        <w:t>7.12. Проверка устойчивости генератора к внешним вибрационным воздействиям проводится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Для испытаний используют: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вибростенд, обеспечивающий параметры допустимых </w:t>
      </w:r>
      <w:proofErr w:type="spellStart"/>
      <w:r w:rsidRPr="00F23DA2">
        <w:t>вибровоздействий</w:t>
      </w:r>
      <w:proofErr w:type="spellEnd"/>
      <w:r w:rsidRPr="00F23DA2">
        <w:t>, указанные в технической документации на испытываемый генератор;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аппаратуру и оборудование, применяемые при определении времени подачи огнетушащего аэрозоля и размеров зон с температурой 75 °C, 200 °C и 400 °C, образующихся при работе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Генераторы, снаряженные узлом пуска, с помощью штатного кронштейна и крепежных элементов устанавливаются на подвижной платформе вибростенда. </w:t>
      </w:r>
      <w:proofErr w:type="spellStart"/>
      <w:r w:rsidRPr="00F23DA2">
        <w:t>Вибровоздействия</w:t>
      </w:r>
      <w:proofErr w:type="spellEnd"/>
      <w:r w:rsidRPr="00F23DA2">
        <w:t xml:space="preserve"> проводят для девяти генераторов по каждой из трех осей координат ГОА (для трех генераторов по одной из осей) при предельно допустимых значениях частоты, амплитуды и времени воздействия, установленных изготовителем в технической документации на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Определяют время работы ГОА (подачи огнетушащего аэрозоля) и размеры зон с температурой 75 °C, 200 °C и 400 °C, образующихся при работе ГОА для генераторов после </w:t>
      </w:r>
      <w:proofErr w:type="spellStart"/>
      <w:r w:rsidRPr="00F23DA2">
        <w:t>вибровоздействий</w:t>
      </w:r>
      <w:proofErr w:type="spellEnd"/>
      <w:r w:rsidRPr="00F23DA2">
        <w:t xml:space="preserve"> по каждой из осей.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Значения этих параметров для генераторов после </w:t>
      </w:r>
      <w:proofErr w:type="spellStart"/>
      <w:r w:rsidRPr="00F23DA2">
        <w:t>вибровоздействий</w:t>
      </w:r>
      <w:proofErr w:type="spellEnd"/>
      <w:r w:rsidRPr="00F23DA2">
        <w:t xml:space="preserve"> не должны быть выше соответствующих величин, приведенных в технической документации на </w:t>
      </w:r>
      <w:proofErr w:type="gramStart"/>
      <w:r w:rsidRPr="00F23DA2">
        <w:t>данный</w:t>
      </w:r>
      <w:proofErr w:type="gramEnd"/>
      <w:r w:rsidRPr="00F23DA2">
        <w:t xml:space="preserve">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16" w:name="P380"/>
      <w:bookmarkEnd w:id="16"/>
      <w:r w:rsidRPr="00F23DA2">
        <w:t>7.13. Состояние корпуса ГОА после окончания работы генератора оценивают путем анализа кадров видеосъемки (киносъемки), полученных при проведении испытаний трех генераторов и осмотра корпусов сработавших ГОА.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Генератор считается прошедшим испытание, если ни в одном из трех опытов не происходило самостоятельное горение наружной поверхности корпуса после окончания работы генератора, а в корпусе сработавшего ГОА не образовалось трещин, прогаров и </w:t>
      </w:r>
      <w:proofErr w:type="gramStart"/>
      <w:r w:rsidRPr="00F23DA2">
        <w:t>других</w:t>
      </w:r>
      <w:proofErr w:type="gramEnd"/>
      <w:r w:rsidRPr="00F23DA2">
        <w:t xml:space="preserve"> не установленных конструкторской документацией сквозных отверстий.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17" w:name="P382"/>
      <w:bookmarkEnd w:id="17"/>
      <w:r w:rsidRPr="00F23DA2">
        <w:t>7.14. Максимальная температура корпуса генератора во время и по окончании его работы определяется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Для испытаний используют: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датчики температуры - термоэлектрические преобразователи ТХА или ТХК по ГОСТ </w:t>
      </w:r>
      <w:proofErr w:type="gramStart"/>
      <w:r w:rsidRPr="00F23DA2">
        <w:t>Р</w:t>
      </w:r>
      <w:proofErr w:type="gramEnd"/>
      <w:r w:rsidRPr="00F23DA2">
        <w:t xml:space="preserve"> 6616 с диаметром проволоки не более 0,1 мм;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lastRenderedPageBreak/>
        <w:t>- устройство измерения и регистрации температуры во времени с диапазоном измерения температуры, соответствующим температурному диапазону термоэлектрического преобразователя, и погрешностью измерения времени не более 1,0 с.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Подготовка к проведению испытаний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Генератор, снаряженный устройством пуска, закрепляют на высоте 1 - 2 м на стапеле, расположенном в испытательном боксе или на открытом пространстве в защищенном от ветра месте. Закрепляют датчики температуры на внешней поверхности ГОА: один - в середине донной части (в середине поверхности генератора, расположенной со стороны, противоположной выпускному отверстию), два - в середине боковой поверхности генератора на противоположных ее частях. Присоединяют датчики температуры к устройству для измерения и регистрации температуры. Включают регистрирующее и измерительное устройство, после чего подают сигнал на пуск генератора. После окончания работы генератора обрабатывают результаты регистрации. Определяют наибольшие значения показаний каждой термопары.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Проводят испытания трех генераторов. За результат испытаний принимают максимальное значение из показаний термопар, зарегистрированных в трех опытах.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18" w:name="P389"/>
      <w:bookmarkEnd w:id="18"/>
      <w:r w:rsidRPr="00F23DA2">
        <w:t>7.15. Огнетушащую способность ГОА по отношению к горючим веществам и материалам, для тушения которых рекомендуется данный генератор, определяют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19" w:name="P390"/>
      <w:bookmarkEnd w:id="19"/>
      <w:r w:rsidRPr="00F23DA2">
        <w:t>7.15.1. Огнетушащая способность и огнетушащая интенсивность подачи аэрозоля ГОА по отношению к твердым веществам, горение которых происходит без тления (модельный пожар подкласса A2), определяются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Для испытаний используют: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испытательное помещение (огневую камеру), термоэлектрические преобразователи и устройство для измерения и регистрации измерения термоэлектродвижущей силы во времени (по 7.5);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модельные очаги подкласса A2 - не менее трех образцов из соответствующих твердых веществ или материалов размерами 200 x 100 x 10 мм.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Проведение испытаний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В испытательном помещении размещают один или </w:t>
      </w:r>
      <w:proofErr w:type="gramStart"/>
      <w:r w:rsidRPr="00F23DA2">
        <w:t>несколько одного</w:t>
      </w:r>
      <w:proofErr w:type="gramEnd"/>
      <w:r w:rsidRPr="00F23DA2">
        <w:t xml:space="preserve"> типоразмера испытываемых ГОА и модельные очаги с термоэлектрическими преобразователями. Модельные очаги устанавливают вертикально таким образом, чтобы нижние их торцы находились на расстоянии от пола, равном 10%, 50% и 90% высоты. На модельные очаги не должна быть направлена струя огнетушащего аэрозоля, выходящего из ГОА. Зажигают все модельные очаги в нижней части образца. По истечении времени свободного горения модельных очагов, равного (60 +/- 5) с, включают устройство для измерения и регистрации показаний термоэлектрических преобразователей и производят пуск испытываемых генераторов.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Обработку и оценку результатов производят в соответствии с методом, изложенным в 7.5.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20" w:name="P397"/>
      <w:bookmarkEnd w:id="20"/>
      <w:r w:rsidRPr="00F23DA2">
        <w:t>7.15.2. Огнетушащую способность ГОА по отношению к твердым веществам и материалам, горение которых сопровождается тлением (модельный пожар подкласса A1), определяют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Для испытаний используют: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испытательное помещение (огневую камеру), термоэлектрические преобразователи и устройство для измерения и регистрации измерения термоэлектродвижущей силы во времени (по </w:t>
      </w:r>
      <w:r w:rsidRPr="00F23DA2">
        <w:lastRenderedPageBreak/>
        <w:t>7.5);</w:t>
      </w:r>
    </w:p>
    <w:p w:rsidR="00F23DA2" w:rsidRPr="00F23DA2" w:rsidRDefault="00F23DA2">
      <w:pPr>
        <w:pStyle w:val="ConsPlusNormal"/>
        <w:jc w:val="both"/>
      </w:pPr>
    </w:p>
    <w:p w:rsidR="00D80444" w:rsidRPr="00F23DA2" w:rsidRDefault="00F23DA2">
      <w:pPr>
        <w:pStyle w:val="ConsPlusNormal"/>
        <w:jc w:val="both"/>
        <w:rPr>
          <w:i/>
        </w:rPr>
      </w:pPr>
      <w:r w:rsidRPr="00F23DA2">
        <w:rPr>
          <w:i/>
        </w:rPr>
        <w:t>Примечание.</w:t>
      </w:r>
    </w:p>
    <w:p w:rsidR="00D80444" w:rsidRPr="00F23DA2" w:rsidRDefault="00D80444">
      <w:pPr>
        <w:pStyle w:val="ConsPlusNormal"/>
        <w:jc w:val="both"/>
        <w:rPr>
          <w:i/>
        </w:rPr>
      </w:pPr>
      <w:r w:rsidRPr="00F23DA2">
        <w:rPr>
          <w:i/>
        </w:rPr>
        <w:t xml:space="preserve">В официальном тексте документа, видимо, допущена опечатка: имеется в виду ГОСТ </w:t>
      </w:r>
      <w:proofErr w:type="gramStart"/>
      <w:r w:rsidRPr="00F23DA2">
        <w:rPr>
          <w:i/>
        </w:rPr>
        <w:t>Р</w:t>
      </w:r>
      <w:proofErr w:type="gramEnd"/>
      <w:r w:rsidRPr="00F23DA2">
        <w:rPr>
          <w:i/>
        </w:rPr>
        <w:t xml:space="preserve"> 51057-2001, а ГОСТ 51057-2001.</w:t>
      </w:r>
    </w:p>
    <w:p w:rsidR="00F23DA2" w:rsidRPr="00F23DA2" w:rsidRDefault="00F23DA2">
      <w:pPr>
        <w:pStyle w:val="ConsPlusNormal"/>
        <w:jc w:val="both"/>
      </w:pPr>
    </w:p>
    <w:p w:rsidR="00D80444" w:rsidRPr="00F23DA2" w:rsidRDefault="00D80444">
      <w:pPr>
        <w:pStyle w:val="ConsPlusNormal"/>
        <w:ind w:firstLine="540"/>
        <w:jc w:val="both"/>
      </w:pPr>
      <w:r w:rsidRPr="00F23DA2">
        <w:t>- модельный очаг 0,1</w:t>
      </w:r>
      <w:proofErr w:type="gramStart"/>
      <w:r w:rsidRPr="00F23DA2">
        <w:t xml:space="preserve"> А</w:t>
      </w:r>
      <w:proofErr w:type="gramEnd"/>
      <w:r w:rsidRPr="00F23DA2">
        <w:t xml:space="preserve"> (по ГОСТ 51057).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Проведение испытаний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В испытательном помещении размещают один или несколько испытываемых ГОА и модельный очаг 0,1</w:t>
      </w:r>
      <w:proofErr w:type="gramStart"/>
      <w:r w:rsidRPr="00F23DA2">
        <w:t xml:space="preserve"> А</w:t>
      </w:r>
      <w:proofErr w:type="gramEnd"/>
      <w:r w:rsidRPr="00F23DA2">
        <w:t>, в центре которого устанавливают термоэлектрический преобразователь. Модельный очаг размещают на полу таким образом, чтобы на него не была направлена струя огнетушащего аэрозоля, выходящего из ГОА. В открытом испытательном помещении зажигают модельный очаг и по истечении времени свободного горения модельного очага, которое должно быть равно (7 +/- 1) мин, помещение закрывают, включают устройство для измерения и регистрации показаний термоэлектрических преобразователей и производят пуск испытываемых генераторов.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По истечении (10 +/- 1) мин после окончания работы ГОА открывают помещение и отключают устройство для измерения и регистрации показаний термоэлектрических преобразователей.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После открытия испытательного помещения визуально определяют наличие или отсутствие пламенного горения или очагов тления в модельном очаге. Обрабатывают результаты регистрации показаний термоэлектрического преобразователя, установленного в центре модельного очага 0,1 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Результаты испытаний считаются положительными, если после окончания работы ГОА зафиксировано уменьшение температуры в модельном очаге и после вскрытия проемов в нем не обнаружено пламенного горения и/или очагов тления.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Огнетушащую способность ГОА и интенсивность подачи огнетушащего аэрозоля определяют по формулам, приведенным в 7.5.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21" w:name="P409"/>
      <w:bookmarkEnd w:id="21"/>
      <w:r w:rsidRPr="00F23DA2">
        <w:t>7.16. Электрическое сопротивление между корпусом и клеммами, служащими для подачи электрического сигнала на пуск генератора, определяют омметром класса точности 1.0.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Электрическое сопротивление определяют между закороченными клеммами и корпусом генератора.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22" w:name="P411"/>
      <w:bookmarkEnd w:id="22"/>
      <w:r w:rsidRPr="00F23DA2">
        <w:t>7.17. Проверка качества защитных и защитно-декоративных лакокрасочных покрытий деталей генератора проводится по методам, изложенным в ГОСТ 9.032 и ГОСТ 9.302.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23" w:name="P412"/>
      <w:bookmarkEnd w:id="23"/>
      <w:r w:rsidRPr="00F23DA2">
        <w:t>7.18. Соответствие комплектности, маркировки и упаковки требованиям настоящего стандарта, а также наличие устройства для опломбирования ГОА устанавливаются внешним осмотром.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bookmarkStart w:id="24" w:name="P413"/>
      <w:bookmarkEnd w:id="24"/>
      <w:r w:rsidRPr="00F23DA2">
        <w:t>7.19. Размеры зон пожароопасности ГОА определяются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Для испытаний используют: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испытательный стенд, располагаемый в помещении, объем которого не </w:t>
      </w:r>
      <w:proofErr w:type="gramStart"/>
      <w:r w:rsidRPr="00F23DA2">
        <w:t>менее указанного</w:t>
      </w:r>
      <w:proofErr w:type="gramEnd"/>
      <w:r w:rsidRPr="00F23DA2">
        <w:t xml:space="preserve"> в ТД максимального объема условно герметичного помещения, защищаемого одним испытываемым ГОА, или в ограниченной зоне открытого пространства, защищенной от воздействия ветра и осадков, которые обеспечивают свободное распространение струи ОА по </w:t>
      </w:r>
      <w:r w:rsidRPr="00F23DA2">
        <w:lastRenderedPageBreak/>
        <w:t>всей ее длине;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стапель - устройство для крепления ГОА на необходимой высоте для свободной подачи огнетушащего аэрозоля из ГОА;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противни из стали произвольной марки диаметром не менее 0,05 м, высотой не более 0,03 м и толщиной 0,5 - 1,0 мм;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атмосферную газовую горелку (пропанобутановую, бытовую) эжекционного типа диаметром до 9 мм;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- бензин А-76 или А-93 по ГОСТ </w:t>
      </w:r>
      <w:proofErr w:type="gramStart"/>
      <w:r w:rsidRPr="00F23DA2">
        <w:t>Р</w:t>
      </w:r>
      <w:proofErr w:type="gramEnd"/>
      <w:r w:rsidRPr="00F23DA2">
        <w:t xml:space="preserve"> 51105;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хлопчатобумажную вату по ГОСТ 567 влажностью не более 20%;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пропанобутановую смесь по ГОСТ 20448;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линейку (ГОСТ 427) и измерительную рулетку (ГОСТ 7502);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- кино- или видеокамеру (допускается над модельными очагами устанавливать термоэлектрические преобразователи, аналогично указанным ранее в 7.5).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7.19.1. Испытания с горючей жидкостью проводятся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В стапеле закрепляют ГОА в положении, обеспечивающем свободное истечение струи огнетушащего аэрозоля из генератора. Устанавливают два противня: один - у корпуса в зоне максимальной температуры и на соответствующем расстоянии от него, указанных в ТД на испытываемый ГОА, второй - на уровне нижнего среза выпускного отверстия генератора и соответствующем расстоянии вдоль оси струи огнетушащего аэрозоля, указанном в ТД на данный генератор. Заливают до края противня соответствующее количество горючего.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При предварительно включенной кино- или видеокамере приводят в соответствии с инструкцией по эксплуатации в действие ГОА и фиксируют результат испытаний по зажигающей способности корпуса и ОА. При воспламенении модельных очагов методом последовательного приближения с шагом 50 мм находят расстояние, на котором они не воспламеняются. Если воспламенение не произошло, то методом последовательного приближения с шагом 50 мм находят расстояние, на котором очаги воспламеняются.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За результат определения характеристик зажигающей способности - пожароопасных зон отдельно корпуса и огнетушащего аэрозоля ГОА - принимают максимальное значение расстояний, при которых происходит и не происходит зажигание модельных очагов. Испытания, при которых фиксируется воспламенение и его отсутствие, проводят не менее трех раз.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7.19.2. Испытания с горючим твердым материалом проводят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В стапеле закрепляют ГОА в положении, обеспечивающем свободное истечение струи огнетушащего аэрозоля из генератора в горизонтальном направлении. </w:t>
      </w:r>
      <w:proofErr w:type="gramStart"/>
      <w:r w:rsidRPr="00F23DA2">
        <w:t xml:space="preserve">Устанавливают и закрепляют два модельных очага в виде </w:t>
      </w:r>
      <w:proofErr w:type="spellStart"/>
      <w:r w:rsidRPr="00F23DA2">
        <w:t>неспрессованных</w:t>
      </w:r>
      <w:proofErr w:type="spellEnd"/>
      <w:r w:rsidRPr="00F23DA2">
        <w:t xml:space="preserve"> комков ваты массой каждый не более 10 г: один - у корпуса в зоне максимальной температуры и на соответствующем расстоянии от него, указанном в ТД на испытываемый ГОА, второй - на уровне нижнего среза выпускного отверстия генератора и соответствующем расстоянии вдоль оси струи огнетушащего аэрозоля, указанном в ТД на данный генератор.</w:t>
      </w:r>
      <w:proofErr w:type="gramEnd"/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При предварительно включенной кино- или видеокамере приводят в соответствии с инструкцией по эксплуатации в действие ГОА и фиксируют результат испытаний по зажигающей способности корпуса и ОА. При воспламенении модельных очагов методом последовательного </w:t>
      </w:r>
      <w:r w:rsidRPr="00F23DA2">
        <w:lastRenderedPageBreak/>
        <w:t>приближения с шагом 50 мм находят расстояние, на котором они не воспламеняются. Если воспламенение не произошло, то методом последовательного приближения с шагом 50 мм находят расстояние, на котором очаги воспламеняются.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За результат определения характеристик зажигающей способности пожароопасных зон отдельно корпуса и огнетушащего аэрозоля ГОА принимают максимальное значение расстояний, при которых происходит и не происходит зажигание модельных очагов. Испытания, при которых фиксируется воспламенение и его отсутствие, проводят не менее трех раз.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7.19.3. Испытания с горючей газовоздушной смесью проводят следующим образом.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 xml:space="preserve">В стапеле закрепляют ГОА в положении, обеспечивающем свободное истечение струи огнетушащего аэрозоля из генератора в горизонтальном направлении. </w:t>
      </w:r>
      <w:proofErr w:type="gramStart"/>
      <w:r w:rsidRPr="00F23DA2">
        <w:t>Устанавливают и закрепляют два модельных очага в виде атмосферных газовых горелок (пропанобутановых, бытовых) эжекционного типа диаметром до 9 мм с расходом горючего газа до 2 дм</w:t>
      </w:r>
      <w:r w:rsidRPr="00F23DA2">
        <w:rPr>
          <w:vertAlign w:val="superscript"/>
        </w:rPr>
        <w:t>3</w:t>
      </w:r>
      <w:r w:rsidRPr="00F23DA2">
        <w:t>/мин, соединенных с пропанобутановыми бытовыми баллонами: один очаг - у корпуса в зоне максимальной температуры и на соответствующем расстоянии от него, указанном в ТД на испытываемый ГОА, второй - на уровне 50 мм от нижнего среза</w:t>
      </w:r>
      <w:proofErr w:type="gramEnd"/>
      <w:r w:rsidRPr="00F23DA2">
        <w:t xml:space="preserve"> выпускного отверстия генератора и соответствующем </w:t>
      </w:r>
      <w:proofErr w:type="gramStart"/>
      <w:r w:rsidRPr="00F23DA2">
        <w:t>расстоянии</w:t>
      </w:r>
      <w:proofErr w:type="gramEnd"/>
      <w:r w:rsidRPr="00F23DA2">
        <w:t xml:space="preserve"> вдоль оси струи огнетушащего аэрозоля, указанном в ТД на данный генератор.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При предварительно включенных кино- или видеокамере и газовых горелках приводят в соответствии с инструкцией по эксплуатации в действие ГОА и фиксируют результат испытаний по зажигающей способности корпуса и огнетушащего аэрозоля. При воспламенении модельных очагов методом последовательного приближения с шагом 50 мм находят расстояние, на котором они не воспламеняются. Если воспламенение не произошло, то методом последовательного приближения с шагом 50 мм находят расстояние, на котором модельные очаги воспламеняются.</w:t>
      </w:r>
    </w:p>
    <w:p w:rsidR="00D80444" w:rsidRPr="00F23DA2" w:rsidRDefault="00D80444">
      <w:pPr>
        <w:pStyle w:val="ConsPlusNormal"/>
        <w:spacing w:before="220"/>
        <w:ind w:firstLine="540"/>
        <w:jc w:val="both"/>
      </w:pPr>
      <w:r w:rsidRPr="00F23DA2">
        <w:t>За результат определения характеристик зажигающей способности - пожароопасных зон отдельно корпуса ГОА и ОА - принимают максимальное значение расстояний, при которых происходит и не происходит зажигание модельных очагов. Испытания, при которых фиксируется воспламенение и его отсутствие, повторяют не менее трех раз.</w:t>
      </w:r>
    </w:p>
    <w:p w:rsidR="001E7A73" w:rsidRPr="00F23DA2" w:rsidRDefault="00D80444" w:rsidP="00D80444">
      <w:pPr>
        <w:pStyle w:val="ConsPlusNormal"/>
        <w:spacing w:before="220"/>
        <w:ind w:firstLine="540"/>
        <w:jc w:val="both"/>
      </w:pPr>
      <w:r w:rsidRPr="00F23DA2">
        <w:t>Результаты данных испытаний считаются положительными, если во всех опытах по определению характеристик зажигающей способности корпуса и струи огнетушащего аэрозоля - зон пожароопасности ГОА, полученные максимальные значения расстояний, при которых происходит и не происходит зажигание модельных очагов, не ниже значений, указанных в ТД на испытываемый генератор.</w:t>
      </w:r>
    </w:p>
    <w:sectPr w:rsidR="001E7A73" w:rsidRPr="00F23DA2" w:rsidSect="003A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444"/>
    <w:rsid w:val="001E7A73"/>
    <w:rsid w:val="00D80444"/>
    <w:rsid w:val="00F2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804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80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04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23D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804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80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04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23D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fireman.club/inseklodepia/pozharnaya-texnika-protivopozharnaya-texnika/" TargetMode="Externa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8218</Words>
  <Characters>46846</Characters>
  <Application>Microsoft Office Word</Application>
  <DocSecurity>0</DocSecurity>
  <Lines>390</Lines>
  <Paragraphs>109</Paragraphs>
  <ScaleCrop>false</ScaleCrop>
  <Company/>
  <LinksUpToDate>false</LinksUpToDate>
  <CharactersWithSpaces>54955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2017-11-24T09:03:00Z</dcterms:created>
  <dcterms:modified xsi:type="dcterms:W3CDTF">2017-12-10T10:58:00Z</dcterms:modified>
</cp:coreProperties>
</file>